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BC3A" w14:textId="23CB1989" w:rsidR="00B47C3D" w:rsidRDefault="006F045D">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521EF6E7" w14:textId="19D244AC"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or Division: </w:t>
      </w:r>
      <w:r>
        <w:rPr>
          <w:rFonts w:ascii="Times New Roman" w:eastAsia="Times New Roman" w:hAnsi="Times New Roman" w:cs="Times New Roman"/>
          <w:sz w:val="24"/>
          <w:szCs w:val="24"/>
        </w:rPr>
        <w:tab/>
      </w:r>
      <w:r w:rsidR="00E0276A">
        <w:rPr>
          <w:rFonts w:ascii="Times New Roman" w:eastAsia="Times New Roman" w:hAnsi="Times New Roman" w:cs="Times New Roman"/>
          <w:sz w:val="24"/>
          <w:szCs w:val="24"/>
        </w:rPr>
        <w:t>Agricultural Education</w:t>
      </w:r>
    </w:p>
    <w:p w14:paraId="08F2E33F" w14:textId="4B2C6F90"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r>
        <w:rPr>
          <w:rFonts w:ascii="Times New Roman" w:eastAsia="Times New Roman" w:hAnsi="Times New Roman" w:cs="Times New Roman"/>
          <w:sz w:val="24"/>
          <w:szCs w:val="24"/>
        </w:rPr>
        <w:tab/>
      </w:r>
      <w:r w:rsidR="00E0276A">
        <w:rPr>
          <w:rFonts w:ascii="Times New Roman" w:eastAsia="Times New Roman" w:hAnsi="Times New Roman" w:cs="Times New Roman"/>
          <w:sz w:val="24"/>
          <w:szCs w:val="24"/>
        </w:rPr>
        <w:t>Lavyne Rada</w:t>
      </w:r>
    </w:p>
    <w:p w14:paraId="6904ADDE" w14:textId="6AEBCBA8"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w:t>
      </w:r>
      <w:r>
        <w:rPr>
          <w:rFonts w:ascii="Times New Roman" w:eastAsia="Times New Roman" w:hAnsi="Times New Roman" w:cs="Times New Roman"/>
          <w:sz w:val="24"/>
          <w:szCs w:val="24"/>
        </w:rPr>
        <w:tab/>
      </w:r>
      <w:r w:rsidR="00E0276A">
        <w:rPr>
          <w:rFonts w:ascii="Times New Roman" w:eastAsia="Times New Roman" w:hAnsi="Times New Roman" w:cs="Times New Roman"/>
          <w:sz w:val="24"/>
          <w:szCs w:val="24"/>
        </w:rPr>
        <w:t>10/31/2025</w:t>
      </w:r>
    </w:p>
    <w:p w14:paraId="738F1083" w14:textId="01BCA9D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Strategic Plan</w:t>
      </w:r>
    </w:p>
    <w:p w14:paraId="0998A3FF" w14:textId="06719FD2" w:rsidR="00B47C3D" w:rsidRDefault="00B47C3D">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5BB02B7" w14:textId="77777777">
        <w:trPr>
          <w:trHeight w:val="1152"/>
        </w:trPr>
        <w:tc>
          <w:tcPr>
            <w:tcW w:w="10800" w:type="dxa"/>
          </w:tcPr>
          <w:p w14:paraId="297F8FFA" w14:textId="7669FE9A" w:rsidR="001F66C4" w:rsidRDefault="001F66C4" w:rsidP="001F66C4">
            <w:pPr>
              <w:rPr>
                <w:rFonts w:ascii="Times New Roman" w:eastAsia="Times New Roman" w:hAnsi="Times New Roman" w:cs="Times New Roman"/>
                <w:color w:val="000000"/>
                <w:sz w:val="24"/>
                <w:szCs w:val="24"/>
              </w:rPr>
            </w:pPr>
            <w:r w:rsidRPr="001F66C4">
              <w:rPr>
                <w:rFonts w:ascii="Times New Roman" w:eastAsia="Times New Roman" w:hAnsi="Times New Roman" w:cs="Times New Roman"/>
                <w:b/>
                <w:bCs/>
                <w:sz w:val="24"/>
                <w:szCs w:val="24"/>
              </w:rPr>
              <w:t>Provide the link to the Multi-year Strategic Planning Worksheet</w:t>
            </w:r>
          </w:p>
          <w:p w14:paraId="1D33C789" w14:textId="77777777" w:rsidR="00E0276A" w:rsidRDefault="00E0276A" w:rsidP="00E0276A">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Link:</w:t>
            </w:r>
            <w:r w:rsidRPr="00270424">
              <w:rPr>
                <w:rFonts w:ascii="Times New Roman" w:eastAsia="Times New Roman" w:hAnsi="Times New Roman" w:cs="Times New Roman"/>
                <w:b/>
                <w:bCs/>
                <w:i/>
                <w:iCs/>
                <w:color w:val="000000"/>
                <w:sz w:val="24"/>
                <w:szCs w:val="24"/>
              </w:rPr>
              <w:t xml:space="preserve">  </w:t>
            </w:r>
            <w:hyperlink r:id="rId11" w:history="1">
              <w:r w:rsidRPr="00C41CEE">
                <w:rPr>
                  <w:rStyle w:val="Hyperlink"/>
                  <w:rFonts w:ascii="Times New Roman" w:eastAsia="Times New Roman" w:hAnsi="Times New Roman" w:cs="Times New Roman"/>
                  <w:b/>
                  <w:bCs/>
                  <w:i/>
                  <w:iCs/>
                  <w:sz w:val="24"/>
                  <w:szCs w:val="24"/>
                </w:rPr>
                <w:t>Ag Ed Strategic Plan</w:t>
              </w:r>
            </w:hyperlink>
          </w:p>
          <w:p w14:paraId="62E556E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033D7DBE" w14:textId="0A067DEA" w:rsidR="001F66C4" w:rsidRDefault="009347F6" w:rsidP="001F66C4">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applicable</w:t>
            </w:r>
            <w:r w:rsidR="001F66C4">
              <w:rPr>
                <w:rFonts w:ascii="Times New Roman" w:eastAsia="Times New Roman" w:hAnsi="Times New Roman" w:cs="Times New Roman"/>
                <w:sz w:val="24"/>
                <w:szCs w:val="24"/>
              </w:rPr>
              <w:t>, share any additional information about the implementation of the Strategic Plan you would like about the following:</w:t>
            </w:r>
          </w:p>
          <w:p w14:paraId="48192D97" w14:textId="7C8F93E4" w:rsidR="001F66C4" w:rsidRDefault="00E0276A"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Program Benchmarks are </w:t>
            </w:r>
            <w:proofErr w:type="gramStart"/>
            <w:r>
              <w:rPr>
                <w:rFonts w:ascii="Times New Roman" w:eastAsia="Times New Roman" w:hAnsi="Times New Roman" w:cs="Times New Roman"/>
                <w:color w:val="000000"/>
                <w:sz w:val="24"/>
                <w:szCs w:val="24"/>
              </w:rPr>
              <w:t>complete</w:t>
            </w:r>
            <w:proofErr w:type="gramEnd"/>
            <w:r>
              <w:rPr>
                <w:rFonts w:ascii="Times New Roman" w:eastAsia="Times New Roman" w:hAnsi="Times New Roman" w:cs="Times New Roman"/>
                <w:color w:val="000000"/>
                <w:sz w:val="24"/>
                <w:szCs w:val="24"/>
              </w:rPr>
              <w:t xml:space="preserve"> and workshops are being held. First workshop occurred 10/27/25 and another will be held during Vision. Roll out and training plan are still being developed.</w:t>
            </w:r>
          </w:p>
          <w:p w14:paraId="76359EAB" w14:textId="7E11B0F5" w:rsidR="00E0276A" w:rsidRDefault="00E0276A"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AFNR standards are complete and being implemented throughout states. They are aligned to the new Career Clusters. Standards for Water Systems are needed with them being planned to be developed in 2026. </w:t>
            </w:r>
          </w:p>
          <w:p w14:paraId="34F112BB" w14:textId="24A183FE" w:rsidR="00E0276A" w:rsidRDefault="00E0276A"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Strategic planning for the National Council for Agricultural Education (The Council; our policy committee) is underway and began in September with an in-person meeting. Insight was gathered from state staff during a workshop on 10/29/25. Additional information will be gathered during the in-person Ag Ed Summit at Vision and during the in-person Ag Ed Inservice in February 2026. Virtual feedback will be gathered in early 2026 for the 2027-2032 Strategic Plan.</w:t>
            </w:r>
          </w:p>
          <w:p w14:paraId="552076D6" w14:textId="424CC268" w:rsidR="00E0276A" w:rsidRDefault="00E0276A"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Torres attended the Advance CTE conference in the fall on behalf of The Council. Dr. Rada attended the National Supervisor of Agricultural Education conference and Dr. Torres attended the National FFA Convention on behalf of The Council.</w:t>
            </w:r>
          </w:p>
          <w:p w14:paraId="36934E54" w14:textId="62720D3B" w:rsidR="00141F79" w:rsidRDefault="00141F79"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Website was significantly updated: </w:t>
            </w:r>
            <w:hyperlink r:id="rId12" w:history="1">
              <w:r w:rsidRPr="00FB7730">
                <w:rPr>
                  <w:rStyle w:val="Hyperlink"/>
                  <w:rFonts w:ascii="Times New Roman" w:eastAsia="Times New Roman" w:hAnsi="Times New Roman" w:cs="Times New Roman"/>
                  <w:sz w:val="24"/>
                  <w:szCs w:val="24"/>
                </w:rPr>
                <w:t>https://www.thencae.org/</w:t>
              </w:r>
            </w:hyperlink>
            <w:r>
              <w:rPr>
                <w:rFonts w:ascii="Times New Roman" w:eastAsia="Times New Roman" w:hAnsi="Times New Roman" w:cs="Times New Roman"/>
                <w:color w:val="000000"/>
                <w:sz w:val="24"/>
                <w:szCs w:val="24"/>
              </w:rPr>
              <w:t xml:space="preserve"> </w:t>
            </w:r>
          </w:p>
          <w:p w14:paraId="0B039BD7" w14:textId="77777777" w:rsidR="009347F6" w:rsidRDefault="009347F6" w:rsidP="009347F6">
            <w:pPr>
              <w:pBdr>
                <w:top w:val="nil"/>
                <w:left w:val="nil"/>
                <w:bottom w:val="nil"/>
                <w:right w:val="nil"/>
                <w:between w:val="nil"/>
              </w:pBdr>
              <w:rPr>
                <w:rFonts w:ascii="Times New Roman" w:eastAsia="Times New Roman" w:hAnsi="Times New Roman" w:cs="Times New Roman"/>
                <w:color w:val="000000"/>
                <w:sz w:val="24"/>
                <w:szCs w:val="24"/>
              </w:rPr>
            </w:pPr>
          </w:p>
          <w:p w14:paraId="1C0CDB9C" w14:textId="356B3BD0" w:rsidR="009347F6" w:rsidRDefault="00E0276A" w:rsidP="009347F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AAAE, NASAE, and NAAE have announced their program award winners for the year</w:t>
            </w:r>
            <w:r w:rsidR="00141F79">
              <w:rPr>
                <w:rFonts w:ascii="Times New Roman" w:eastAsia="Times New Roman" w:hAnsi="Times New Roman" w:cs="Times New Roman"/>
                <w:color w:val="000000"/>
                <w:sz w:val="24"/>
                <w:szCs w:val="24"/>
              </w:rPr>
              <w:t>. AAAE was recognized in May, NASAE in October and NAAE will be at Vision/NAAE. The Division had 1 fellowship applicant.</w:t>
            </w:r>
          </w:p>
          <w:p w14:paraId="222875A5" w14:textId="77777777" w:rsidR="00141F79" w:rsidRDefault="00141F79" w:rsidP="009347F6">
            <w:pPr>
              <w:pBdr>
                <w:top w:val="nil"/>
                <w:left w:val="nil"/>
                <w:bottom w:val="nil"/>
                <w:right w:val="nil"/>
                <w:between w:val="nil"/>
              </w:pBdr>
              <w:rPr>
                <w:rFonts w:ascii="Times New Roman" w:eastAsia="Times New Roman" w:hAnsi="Times New Roman" w:cs="Times New Roman"/>
                <w:color w:val="000000"/>
                <w:sz w:val="24"/>
                <w:szCs w:val="24"/>
              </w:rPr>
            </w:pPr>
          </w:p>
          <w:p w14:paraId="0546DFA9" w14:textId="26DF850F" w:rsidR="00141F79" w:rsidRPr="00141F79" w:rsidRDefault="00141F79" w:rsidP="009347F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Work-Based Learning </w:t>
            </w:r>
            <w:r w:rsidRPr="00141F79">
              <w:rPr>
                <w:rFonts w:ascii="Times New Roman" w:eastAsia="Times New Roman" w:hAnsi="Times New Roman" w:cs="Times New Roman"/>
                <w:color w:val="000000"/>
                <w:sz w:val="24"/>
                <w:szCs w:val="24"/>
              </w:rPr>
              <w:t>resources through SAE for All continue to be developed. All states have received training. Further training was available through NASAE.</w:t>
            </w:r>
          </w:p>
          <w:p w14:paraId="7045A9B8" w14:textId="77777777" w:rsidR="00141F79" w:rsidRPr="00141F79" w:rsidRDefault="00141F79" w:rsidP="009347F6">
            <w:pPr>
              <w:pBdr>
                <w:top w:val="nil"/>
                <w:left w:val="nil"/>
                <w:bottom w:val="nil"/>
                <w:right w:val="nil"/>
                <w:between w:val="nil"/>
              </w:pBdr>
              <w:rPr>
                <w:rFonts w:ascii="Times New Roman" w:eastAsia="Times New Roman" w:hAnsi="Times New Roman" w:cs="Times New Roman"/>
                <w:color w:val="000000"/>
                <w:sz w:val="24"/>
                <w:szCs w:val="24"/>
              </w:rPr>
            </w:pPr>
          </w:p>
          <w:p w14:paraId="78890B0C" w14:textId="640CA803" w:rsidR="00B47C3D" w:rsidRDefault="00141F79">
            <w:pPr>
              <w:widowControl w:val="0"/>
              <w:pBdr>
                <w:top w:val="nil"/>
                <w:left w:val="nil"/>
                <w:bottom w:val="nil"/>
                <w:right w:val="nil"/>
                <w:between w:val="nil"/>
              </w:pBdr>
              <w:ind w:right="388"/>
              <w:rPr>
                <w:rFonts w:ascii="Times New Roman" w:hAnsi="Times New Roman" w:cs="Times New Roman"/>
                <w:color w:val="1E1E1E"/>
                <w:sz w:val="24"/>
                <w:szCs w:val="24"/>
                <w:shd w:val="clear" w:color="auto" w:fill="FFFFFF"/>
              </w:rPr>
            </w:pPr>
            <w:r w:rsidRPr="00141F79">
              <w:rPr>
                <w:rFonts w:ascii="Times New Roman" w:hAnsi="Times New Roman" w:cs="Times New Roman"/>
                <w:color w:val="1E1E1E"/>
                <w:sz w:val="24"/>
                <w:szCs w:val="24"/>
                <w:shd w:val="clear" w:color="auto" w:fill="FFFFFF"/>
              </w:rPr>
              <w:t>Curriculum for Agricultural Science Education (CASE 4 Learning) </w:t>
            </w:r>
            <w:r>
              <w:rPr>
                <w:rFonts w:ascii="Times New Roman" w:hAnsi="Times New Roman" w:cs="Times New Roman"/>
                <w:color w:val="1E1E1E"/>
                <w:sz w:val="24"/>
                <w:szCs w:val="24"/>
                <w:shd w:val="clear" w:color="auto" w:fill="FFFFFF"/>
              </w:rPr>
              <w:t xml:space="preserve">curriculum managed by The Council had added additional resources for end-of-course assessments and credentials outline on their website: </w:t>
            </w:r>
            <w:hyperlink r:id="rId13" w:history="1">
              <w:r w:rsidRPr="00FB7730">
                <w:rPr>
                  <w:rStyle w:val="Hyperlink"/>
                  <w:rFonts w:ascii="Times New Roman" w:hAnsi="Times New Roman" w:cs="Times New Roman"/>
                  <w:sz w:val="24"/>
                  <w:szCs w:val="24"/>
                  <w:shd w:val="clear" w:color="auto" w:fill="FFFFFF"/>
                </w:rPr>
                <w:t>https://www.case4learning.org/curriculum/student-assessments-credentialing/</w:t>
              </w:r>
            </w:hyperlink>
            <w:r>
              <w:rPr>
                <w:rFonts w:ascii="Times New Roman" w:hAnsi="Times New Roman" w:cs="Times New Roman"/>
                <w:color w:val="1E1E1E"/>
                <w:sz w:val="24"/>
                <w:szCs w:val="24"/>
                <w:shd w:val="clear" w:color="auto" w:fill="FFFFFF"/>
              </w:rPr>
              <w:t>.</w:t>
            </w:r>
          </w:p>
          <w:p w14:paraId="5C408A03" w14:textId="77777777" w:rsidR="00141F79" w:rsidRDefault="00141F79">
            <w:pPr>
              <w:widowControl w:val="0"/>
              <w:pBdr>
                <w:top w:val="nil"/>
                <w:left w:val="nil"/>
                <w:bottom w:val="nil"/>
                <w:right w:val="nil"/>
                <w:between w:val="nil"/>
              </w:pBdr>
              <w:ind w:right="388"/>
              <w:rPr>
                <w:rFonts w:ascii="Times New Roman" w:hAnsi="Times New Roman" w:cs="Times New Roman"/>
                <w:color w:val="1E1E1E"/>
                <w:sz w:val="24"/>
                <w:szCs w:val="24"/>
                <w:shd w:val="clear" w:color="auto" w:fill="FFFFFF"/>
              </w:rPr>
            </w:pPr>
          </w:p>
          <w:p w14:paraId="32B03E30" w14:textId="77777777" w:rsidR="00141F79" w:rsidRDefault="00141F79">
            <w:pPr>
              <w:widowControl w:val="0"/>
              <w:pBdr>
                <w:top w:val="nil"/>
                <w:left w:val="nil"/>
                <w:bottom w:val="nil"/>
                <w:right w:val="nil"/>
                <w:between w:val="nil"/>
              </w:pBdr>
              <w:ind w:right="388"/>
              <w:rPr>
                <w:rFonts w:ascii="Arial" w:hAnsi="Arial" w:cs="Arial"/>
                <w:color w:val="1E1E1E"/>
                <w:shd w:val="clear" w:color="auto" w:fill="FFFFFF"/>
              </w:rPr>
            </w:pPr>
          </w:p>
          <w:p w14:paraId="134413DF" w14:textId="46C03DFD" w:rsidR="00141F79" w:rsidRDefault="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26402DE" w14:textId="39756A71"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lastRenderedPageBreak/>
        <w:t>Contributions to Region and Division Members</w:t>
      </w:r>
    </w:p>
    <w:p w14:paraId="6A6C49BC" w14:textId="4199FE9C" w:rsidR="00B47C3D" w:rsidRDefault="006F045D">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remember the importance of engagement of members during this time and let ACTE know how we can help engaging your members with you! Please also let us know how you have engaged ACTE members within the past 4 months. Indicate if the work falls under any of the Strategic Plan.</w:t>
      </w:r>
    </w:p>
    <w:p w14:paraId="31CED711" w14:textId="2A47A701" w:rsidR="008179A4" w:rsidRDefault="008179A4">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sectPr w:rsidR="008179A4">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titlePg/>
        </w:sectPr>
      </w:pPr>
      <w:r w:rsidRPr="008179A4">
        <w:rPr>
          <w:rFonts w:ascii="Times New Roman" w:eastAsia="Times New Roman" w:hAnsi="Times New Roman" w:cs="Times New Roman"/>
          <w:b/>
          <w:bCs/>
          <w:i/>
          <w:iCs/>
          <w:color w:val="000000"/>
          <w:sz w:val="24"/>
          <w:szCs w:val="24"/>
        </w:rPr>
        <w:t>Divisions</w:t>
      </w:r>
      <w:r w:rsidR="007E2ACA">
        <w:rPr>
          <w:rFonts w:ascii="Times New Roman" w:eastAsia="Times New Roman" w:hAnsi="Times New Roman" w:cs="Times New Roman"/>
          <w:b/>
          <w:bCs/>
          <w:i/>
          <w:iCs/>
          <w:color w:val="000000"/>
          <w:sz w:val="24"/>
          <w:szCs w:val="24"/>
        </w:rPr>
        <w:t>/NRS</w:t>
      </w:r>
      <w:r w:rsidRPr="008179A4">
        <w:rPr>
          <w:rFonts w:ascii="Times New Roman" w:eastAsia="Times New Roman" w:hAnsi="Times New Roman" w:cs="Times New Roman"/>
          <w:b/>
          <w:bCs/>
          <w:i/>
          <w:iCs/>
          <w:color w:val="000000"/>
          <w:sz w:val="24"/>
          <w:szCs w:val="24"/>
        </w:rPr>
        <w:t>, please share the work of Areas of Interest</w:t>
      </w:r>
      <w:r w:rsidR="007E2ACA">
        <w:rPr>
          <w:rFonts w:ascii="Times New Roman" w:eastAsia="Times New Roman" w:hAnsi="Times New Roman" w:cs="Times New Roman"/>
          <w:b/>
          <w:bCs/>
          <w:i/>
          <w:iCs/>
          <w:color w:val="000000"/>
          <w:sz w:val="24"/>
          <w:szCs w:val="24"/>
        </w:rPr>
        <w:t xml:space="preserve"> and Sections</w:t>
      </w:r>
      <w:r w:rsidRPr="008179A4">
        <w:rPr>
          <w:rFonts w:ascii="Times New Roman" w:eastAsia="Times New Roman" w:hAnsi="Times New Roman" w:cs="Times New Roman"/>
          <w:b/>
          <w:bCs/>
          <w:i/>
          <w:iCs/>
          <w:color w:val="000000"/>
          <w:sz w:val="24"/>
          <w:szCs w:val="24"/>
        </w:rPr>
        <w:t xml:space="preserve"> here</w:t>
      </w:r>
      <w:r>
        <w:rPr>
          <w:rFonts w:ascii="Times New Roman" w:eastAsia="Times New Roman" w:hAnsi="Times New Roman" w:cs="Times New Roman"/>
          <w:color w:val="000000"/>
          <w:sz w:val="24"/>
          <w:szCs w:val="24"/>
        </w:rPr>
        <w:t>.</w:t>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4B62A30" w14:textId="77777777">
        <w:trPr>
          <w:trHeight w:val="1152"/>
        </w:trPr>
        <w:tc>
          <w:tcPr>
            <w:tcW w:w="10800" w:type="dxa"/>
          </w:tcPr>
          <w:p w14:paraId="3ACCEA66" w14:textId="77966048" w:rsidR="00141F79" w:rsidRDefault="00141F79"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Held an Ag Ed Division Policy Committee meeting September 14-16 in Indianapolis, IN. Discussed long term strategic plans highlighting work in teacher recruitment and retention, collaboration between Ag Ed divisions (i.e., NAAE, NASAE, AAAE), and meeting the needs of various member groups.</w:t>
            </w:r>
          </w:p>
          <w:p w14:paraId="220734A0" w14:textId="77777777" w:rsidR="00141F79" w:rsidRDefault="00141F79"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C243BCE" w14:textId="77777777" w:rsidR="00141F79" w:rsidRDefault="00141F79"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 with NAAE and policy committee to discuss plans during VISION 2025. Discussed additional collaboration opportunities with AAAE and potential additional connections with PACE moving forward with teacher preparation faculty.</w:t>
            </w:r>
          </w:p>
          <w:p w14:paraId="62491049" w14:textId="77777777" w:rsidR="00141F79" w:rsidRDefault="00141F79"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5C428475" w14:textId="77777777" w:rsidR="00B47C3D" w:rsidRDefault="00141F79"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Attended the NASAE conference October 26-29 and held workshops on the National Program Benchmarks, the Council, and Strategic Planning.</w:t>
            </w:r>
          </w:p>
          <w:p w14:paraId="6E19F418" w14:textId="422D10C2" w:rsidR="00141F79" w:rsidRDefault="00141F79"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0B7D5BD1" w14:textId="24E094CB" w:rsidR="00B47C3D" w:rsidRDefault="006F045D">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2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gridCol w:w="10800"/>
      </w:tblGrid>
      <w:tr w:rsidR="00F47253" w14:paraId="799BC347" w14:textId="77777777" w:rsidTr="00F47253">
        <w:trPr>
          <w:trHeight w:val="1152"/>
        </w:trPr>
        <w:tc>
          <w:tcPr>
            <w:tcW w:w="10800" w:type="dxa"/>
          </w:tcPr>
          <w:p w14:paraId="3F29F03B" w14:textId="7B0A445A"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Policy committee members are working with members to develop an Administrator’s Guide to Agricultural Education to help outline program components and best practices for administrators unfamiliar with Agricultural Education and CTE. A track is being continued within the NAAE conference for administrators.</w:t>
            </w:r>
          </w:p>
        </w:tc>
        <w:tc>
          <w:tcPr>
            <w:tcW w:w="10800" w:type="dxa"/>
          </w:tcPr>
          <w:p w14:paraId="63381573" w14:textId="6BEEB1DA"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79F6736" w14:textId="043570F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Succession Planning</w:t>
      </w:r>
    </w:p>
    <w:p w14:paraId="69477C86" w14:textId="0AFB2468"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have any information you wish you had been provided during your new Board Orientation (what you know now that you wish you had known then)? Do you have any suggestions on future Vice Presidents for your Region or Division? </w:t>
      </w:r>
      <w:r w:rsidRPr="000B5914">
        <w:rPr>
          <w:rFonts w:ascii="Times New Roman" w:eastAsia="Times New Roman" w:hAnsi="Times New Roman" w:cs="Times New Roman"/>
          <w:b/>
          <w:bCs/>
          <w:sz w:val="24"/>
          <w:szCs w:val="24"/>
        </w:rPr>
        <w:t>Or any suggestions on future ACTE President-Elect candidates?</w:t>
      </w:r>
    </w:p>
    <w:tbl>
      <w:tblPr>
        <w:tblStyle w:val="a2"/>
        <w:tblW w:w="2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gridCol w:w="10800"/>
      </w:tblGrid>
      <w:tr w:rsidR="00F47253" w14:paraId="50228EF1" w14:textId="77777777" w:rsidTr="00F47253">
        <w:trPr>
          <w:trHeight w:val="1152"/>
        </w:trPr>
        <w:tc>
          <w:tcPr>
            <w:tcW w:w="10800" w:type="dxa"/>
          </w:tcPr>
          <w:p w14:paraId="04CADBF9" w14:textId="7872BB21"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None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c>
          <w:tcPr>
            <w:tcW w:w="10800" w:type="dxa"/>
          </w:tcPr>
          <w:p w14:paraId="76810ED2" w14:textId="631A58BB"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58D288BE" w14:textId="02EDEDD9" w:rsidR="00B47C3D" w:rsidRDefault="006F045D">
      <w:pPr>
        <w:pStyle w:val="Heading1"/>
        <w:numPr>
          <w:ilvl w:val="0"/>
          <w:numId w:val="1"/>
        </w:numPr>
        <w:spacing w:after="160"/>
        <w:ind w:left="360"/>
        <w:rPr>
          <w:rFonts w:ascii="Times New Roman" w:eastAsia="Times New Roman" w:hAnsi="Times New Roman" w:cs="Times New Roman"/>
          <w:b/>
        </w:rPr>
      </w:pPr>
      <w:r>
        <w:rPr>
          <w:rFonts w:ascii="Times New Roman" w:eastAsia="Times New Roman" w:hAnsi="Times New Roman" w:cs="Times New Roman"/>
          <w:b/>
        </w:rPr>
        <w:t>Region/Division Concerns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B47C3D" w14:paraId="7EA8D075" w14:textId="77777777">
        <w:trPr>
          <w:trHeight w:val="720"/>
        </w:trPr>
        <w:tc>
          <w:tcPr>
            <w:tcW w:w="3596" w:type="dxa"/>
            <w:vAlign w:val="center"/>
          </w:tcPr>
          <w:p w14:paraId="1FD4CF05"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597" w:type="dxa"/>
            <w:vAlign w:val="center"/>
          </w:tcPr>
          <w:p w14:paraId="4216BF2B"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597" w:type="dxa"/>
            <w:vAlign w:val="center"/>
          </w:tcPr>
          <w:p w14:paraId="7DB0B1FA"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F47253" w14:paraId="409922F1" w14:textId="77777777">
        <w:trPr>
          <w:trHeight w:val="1152"/>
        </w:trPr>
        <w:tc>
          <w:tcPr>
            <w:tcW w:w="3596" w:type="dxa"/>
          </w:tcPr>
          <w:p w14:paraId="2D521676" w14:textId="6F64D910"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continues about teacher recruitment and retention and the need to share best practices. There is a desire for opportunities to collaborate and share best practices. </w:t>
            </w:r>
          </w:p>
        </w:tc>
        <w:tc>
          <w:tcPr>
            <w:tcW w:w="3597" w:type="dxa"/>
          </w:tcPr>
          <w:p w14:paraId="41346D61" w14:textId="5DF7C2AA"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 retention is an ongoing need for all CTE areas. Conversations throughout the year continue about supporting alternatively licensed teachers.</w:t>
            </w:r>
          </w:p>
        </w:tc>
        <w:tc>
          <w:tcPr>
            <w:tcW w:w="3597" w:type="dxa"/>
          </w:tcPr>
          <w:p w14:paraId="13550B24" w14:textId="056F24B0"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Continue exploring options to share best practices among stakeholders including a potential pre-session at NPS.</w:t>
            </w:r>
          </w:p>
        </w:tc>
      </w:tr>
      <w:tr w:rsidR="00F47253" w14:paraId="6E0A8BB6" w14:textId="77777777">
        <w:trPr>
          <w:trHeight w:val="1152"/>
        </w:trPr>
        <w:tc>
          <w:tcPr>
            <w:tcW w:w="3596" w:type="dxa"/>
          </w:tcPr>
          <w:p w14:paraId="4DDE609A" w14:textId="77777777"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672CC0BF" w14:textId="77777777"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3AEB4032" w14:textId="7B1CF07A"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r w:rsidR="00F47253" w14:paraId="7045A9C7" w14:textId="77777777">
        <w:trPr>
          <w:trHeight w:val="1152"/>
        </w:trPr>
        <w:tc>
          <w:tcPr>
            <w:tcW w:w="3596" w:type="dxa"/>
          </w:tcPr>
          <w:p w14:paraId="259EC53F" w14:textId="77777777"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701CCBD" w14:textId="77777777"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7B185A1B" w14:textId="5DE6E9A4"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B8F2DC1" w14:textId="5A0340D8"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Topics to be discussed during Division/Region Breakouts</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841FCAD" w14:textId="77777777">
        <w:trPr>
          <w:trHeight w:val="1152"/>
        </w:trPr>
        <w:tc>
          <w:tcPr>
            <w:tcW w:w="10800" w:type="dxa"/>
          </w:tcPr>
          <w:p w14:paraId="7EDB25B1" w14:textId="6EACA0D4" w:rsidR="00B47C3D" w:rsidRDefault="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Consistent practices for encouraging division members to join additional divisions. What is the consistent message and practice at conferences and events throughout the year? How can we encourage divisions at the state level to provide options as well? How can this be encouraged at VISION?</w:t>
            </w:r>
          </w:p>
        </w:tc>
      </w:tr>
    </w:tbl>
    <w:p w14:paraId="5687389C" w14:textId="77777777" w:rsidR="00B47C3D" w:rsidRDefault="006F045D">
      <w:pPr>
        <w:pStyle w:val="Heading1"/>
        <w:numPr>
          <w:ilvl w:val="0"/>
          <w:numId w:val="1"/>
        </w:numPr>
        <w:spacing w:after="120"/>
        <w:ind w:left="36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1C93A89E" w14:textId="6444BD3B"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2ABE527A" w14:textId="77777777">
        <w:trPr>
          <w:trHeight w:val="1152"/>
        </w:trPr>
        <w:tc>
          <w:tcPr>
            <w:tcW w:w="10800" w:type="dxa"/>
          </w:tcPr>
          <w:p w14:paraId="67B8771C" w14:textId="450DB838" w:rsidR="00B47C3D" w:rsidRDefault="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 sure where to put this, but my policy committee is concerned about the application process for the board. We have quality </w:t>
            </w:r>
            <w:proofErr w:type="gramStart"/>
            <w:r>
              <w:rPr>
                <w:rFonts w:ascii="Times New Roman" w:eastAsia="Times New Roman" w:hAnsi="Times New Roman" w:cs="Times New Roman"/>
                <w:color w:val="000000"/>
                <w:sz w:val="24"/>
                <w:szCs w:val="24"/>
              </w:rPr>
              <w:t>candidates</w:t>
            </w:r>
            <w:proofErr w:type="gramEnd"/>
            <w:r>
              <w:rPr>
                <w:rFonts w:ascii="Times New Roman" w:eastAsia="Times New Roman" w:hAnsi="Times New Roman" w:cs="Times New Roman"/>
                <w:color w:val="000000"/>
                <w:sz w:val="24"/>
                <w:szCs w:val="24"/>
              </w:rPr>
              <w:t xml:space="preserve"> but the depth of information requested was significant and they believed it may discourage quality candidates from applying. I’m not sure who manages what is on the application.</w:t>
            </w:r>
          </w:p>
        </w:tc>
      </w:tr>
    </w:tbl>
    <w:p w14:paraId="626EDBF9" w14:textId="67D460CE" w:rsidR="00B47C3D" w:rsidRDefault="00B47C3D">
      <w:pPr>
        <w:rPr>
          <w:rFonts w:ascii="Times New Roman" w:eastAsia="Times New Roman" w:hAnsi="Times New Roman" w:cs="Times New Roman"/>
          <w:sz w:val="24"/>
          <w:szCs w:val="24"/>
        </w:rPr>
      </w:pPr>
    </w:p>
    <w:p w14:paraId="51F9CE80" w14:textId="3363B9EC"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Action Items (those that will introduce a motion). </w:t>
      </w:r>
      <w:r w:rsidRPr="000B5914">
        <w:rPr>
          <w:rFonts w:ascii="Times New Roman" w:eastAsia="Times New Roman" w:hAnsi="Times New Roman" w:cs="Times New Roman"/>
          <w:b/>
          <w:bCs/>
          <w:sz w:val="24"/>
          <w:szCs w:val="24"/>
        </w:rPr>
        <w:t>Indicate item, rationale and possible wording for motion.</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43F349B" w14:textId="77777777">
        <w:trPr>
          <w:trHeight w:val="1152"/>
        </w:trPr>
        <w:tc>
          <w:tcPr>
            <w:tcW w:w="10800" w:type="dxa"/>
          </w:tcPr>
          <w:p w14:paraId="7773E5AE" w14:textId="4F7AA99B" w:rsidR="00B47C3D" w:rsidRDefault="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None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r>
    </w:tbl>
    <w:p w14:paraId="77D1E377" w14:textId="45663390"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Request for Information</w:t>
      </w:r>
    </w:p>
    <w:p w14:paraId="4A103F2C"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8360C1E" w14:textId="77777777">
        <w:trPr>
          <w:trHeight w:val="1152"/>
        </w:trPr>
        <w:tc>
          <w:tcPr>
            <w:tcW w:w="10800" w:type="dxa"/>
          </w:tcPr>
          <w:p w14:paraId="6C544709" w14:textId="08E743B3" w:rsidR="00B47C3D" w:rsidRDefault="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 like to send at least one division email to Ag Ed, but I’ve never done that before since there are so many other systems. How can I do this?</w:t>
            </w:r>
          </w:p>
        </w:tc>
      </w:tr>
    </w:tbl>
    <w:p w14:paraId="4C7BD1CF" w14:textId="78510FA4" w:rsidR="00B47C3D" w:rsidRDefault="00B47C3D">
      <w:pPr>
        <w:rPr>
          <w:rFonts w:ascii="Times New Roman" w:eastAsia="Times New Roman" w:hAnsi="Times New Roman" w:cs="Times New Roman"/>
        </w:rPr>
      </w:pPr>
    </w:p>
    <w:sectPr w:rsidR="00B47C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2EDB" w14:textId="77777777" w:rsidR="00EA215D" w:rsidRDefault="00EA215D">
      <w:pPr>
        <w:spacing w:after="0" w:line="240" w:lineRule="auto"/>
      </w:pPr>
      <w:r>
        <w:separator/>
      </w:r>
    </w:p>
  </w:endnote>
  <w:endnote w:type="continuationSeparator" w:id="0">
    <w:p w14:paraId="4BCD8540" w14:textId="77777777" w:rsidR="00EA215D" w:rsidRDefault="00EA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1392" w14:textId="77777777" w:rsidR="0095681B" w:rsidRDefault="00956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F01C" w14:textId="77777777" w:rsidR="00B47C3D" w:rsidRDefault="006F04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9264" behindDoc="1" locked="0" layoutInCell="1" hidden="0" allowOverlap="1" wp14:anchorId="36868C24" wp14:editId="62BB196B">
              <wp:simplePos x="0" y="0"/>
              <wp:positionH relativeFrom="column">
                <wp:posOffset>6832600</wp:posOffset>
              </wp:positionH>
              <wp:positionV relativeFrom="paragraph">
                <wp:posOffset>9220200</wp:posOffset>
              </wp:positionV>
              <wp:extent cx="171450" cy="213360"/>
              <wp:effectExtent l="0" t="0" r="0" b="0"/>
              <wp:wrapNone/>
              <wp:docPr id="1" name="Freeform: Shape 1"/>
              <wp:cNvGraphicFramePr/>
              <a:graphic xmlns:a="http://schemas.openxmlformats.org/drawingml/2006/main">
                <a:graphicData uri="http://schemas.microsoft.com/office/word/2010/wordprocessingShape">
                  <wps:wsp>
                    <wps:cNvSpPr/>
                    <wps:spPr>
                      <a:xfrm>
                        <a:off x="5269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6868C24" id="Freeform: Shape 1" o:spid="_x0000_s1026" style="position:absolute;margin-left:538pt;margin-top:726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" adj="-11796480,,5400" path="m,l,194310r152400,l152400,,,xe" filled="f" stroked="f">
              <v:stroke joinstyle="miter"/>
              <v:formulas/>
              <v:path arrowok="t" o:extrusionok="f" o:connecttype="custom" textboxrect="0,0,152400,194310"/>
              <v:textbox inset="7pt,3pt,7pt,3pt">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6DB" w14:textId="77777777" w:rsidR="0095681B" w:rsidRDefault="0095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FAAD" w14:textId="77777777" w:rsidR="00EA215D" w:rsidRDefault="00EA215D">
      <w:pPr>
        <w:spacing w:after="0" w:line="240" w:lineRule="auto"/>
      </w:pPr>
      <w:r>
        <w:separator/>
      </w:r>
    </w:p>
  </w:footnote>
  <w:footnote w:type="continuationSeparator" w:id="0">
    <w:p w14:paraId="0AC717A7" w14:textId="77777777" w:rsidR="00EA215D" w:rsidRDefault="00EA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038E" w14:textId="77777777" w:rsidR="0095681B" w:rsidRDefault="00956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AFF4" w14:textId="77777777" w:rsidR="0095681B" w:rsidRDefault="00956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3FC" w14:textId="3C9E8335" w:rsidR="00205857" w:rsidRDefault="00205857" w:rsidP="00205857">
    <w:pPr>
      <w:spacing w:after="0" w:line="240" w:lineRule="auto"/>
      <w:contextualSpacing/>
      <w:jc w:val="center"/>
      <w:textAlignment w:val="baseline"/>
      <w:rPr>
        <w:rFonts w:ascii="Verdana" w:eastAsia="Times New Roman" w:hAnsi="Verdana" w:cs="Segoe UI"/>
        <w:color w:val="000000" w:themeColor="text1"/>
        <w:sz w:val="20"/>
        <w:szCs w:val="20"/>
      </w:rPr>
    </w:pPr>
    <w:r w:rsidRPr="005E379D">
      <w:rPr>
        <w:rFonts w:ascii="Verdana" w:hAnsi="Verdana"/>
        <w:noProof/>
        <w:sz w:val="20"/>
        <w:szCs w:val="20"/>
      </w:rPr>
      <w:drawing>
        <wp:inline distT="0" distB="0" distL="0" distR="0" wp14:anchorId="7B877DD0" wp14:editId="17F28808">
          <wp:extent cx="2743200" cy="333375"/>
          <wp:effectExtent l="0" t="0" r="0" b="9525"/>
          <wp:docPr id="655363574" name="Picture 65536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noProof/>
        <w:sz w:val="20"/>
        <w:szCs w:val="20"/>
      </w:rPr>
      <w:drawing>
        <wp:inline distT="0" distB="0" distL="0" distR="0" wp14:anchorId="4E595679" wp14:editId="5457494E">
          <wp:extent cx="2743200" cy="333375"/>
          <wp:effectExtent l="0" t="0" r="0" b="9525"/>
          <wp:docPr id="1283060605" name="Picture 128306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sz w:val="20"/>
        <w:szCs w:val="20"/>
      </w:rPr>
      <w:t xml:space="preserve"> </w:t>
    </w:r>
    <w:r w:rsidRPr="005E379D">
      <w:rPr>
        <w:rFonts w:ascii="Verdana" w:hAnsi="Verdana"/>
        <w:noProof/>
        <w:sz w:val="20"/>
        <w:szCs w:val="20"/>
      </w:rPr>
      <w:drawing>
        <wp:inline distT="0" distB="0" distL="0" distR="0" wp14:anchorId="33A41E03" wp14:editId="3A20296A">
          <wp:extent cx="2743200" cy="333375"/>
          <wp:effectExtent l="0" t="0" r="0" b="9525"/>
          <wp:docPr id="1091491417" name="Picture 109149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eastAsia="Times New Roman" w:hAnsi="Verdana" w:cs="Segoe UI"/>
        <w:color w:val="000000" w:themeColor="text1"/>
        <w:sz w:val="20"/>
        <w:szCs w:val="20"/>
      </w:rPr>
      <w:t> </w:t>
    </w:r>
    <w:r w:rsidRPr="005E379D">
      <w:rPr>
        <w:rFonts w:ascii="Verdana" w:hAnsi="Verdana"/>
        <w:noProof/>
        <w:sz w:val="20"/>
        <w:szCs w:val="20"/>
      </w:rPr>
      <w:drawing>
        <wp:inline distT="0" distB="0" distL="0" distR="0" wp14:anchorId="7EE1968E" wp14:editId="2F59B7A1">
          <wp:extent cx="2743200" cy="333375"/>
          <wp:effectExtent l="0" t="0" r="0" b="9525"/>
          <wp:docPr id="1155277716" name="Picture 115527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p>
  <w:p w14:paraId="3CA27950" w14:textId="62C3B5F3" w:rsidR="00B47C3D" w:rsidRPr="00205857" w:rsidRDefault="00205857" w:rsidP="00205857">
    <w:pPr>
      <w:tabs>
        <w:tab w:val="left" w:pos="5461"/>
      </w:tabs>
      <w:spacing w:line="240" w:lineRule="auto"/>
      <w:contextualSpacing/>
      <w:jc w:val="center"/>
      <w:textAlignment w:val="baseline"/>
    </w:pPr>
    <w:r w:rsidRPr="005E379D">
      <w:rPr>
        <w:rFonts w:ascii="Verdana" w:hAnsi="Verdana"/>
        <w:noProof/>
        <w:sz w:val="20"/>
        <w:szCs w:val="20"/>
      </w:rPr>
      <w:drawing>
        <wp:inline distT="0" distB="0" distL="0" distR="0" wp14:anchorId="1FE660A6" wp14:editId="64168CE1">
          <wp:extent cx="2743200" cy="333375"/>
          <wp:effectExtent l="0" t="0" r="0" b="9525"/>
          <wp:docPr id="1028170881" name="Picture 102817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Pr>
        <w:noProof/>
      </w:rPr>
      <w:drawing>
        <wp:inline distT="0" distB="0" distL="0" distR="0" wp14:anchorId="65F7BC0C" wp14:editId="59C02D81">
          <wp:extent cx="2743200" cy="329184"/>
          <wp:effectExtent l="0" t="0" r="0" b="0"/>
          <wp:docPr id="205741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1053" name="Picture 205741053"/>
                  <pic:cNvPicPr/>
                </pic:nvPicPr>
                <pic:blipFill>
                  <a:blip r:embed="rId6">
                    <a:extLst>
                      <a:ext uri="{28A0092B-C50C-407E-A947-70E740481C1C}">
                        <a14:useLocalDpi xmlns:a14="http://schemas.microsoft.com/office/drawing/2010/main" val="0"/>
                      </a:ext>
                    </a:extLst>
                  </a:blip>
                  <a:stretch>
                    <a:fillRect/>
                  </a:stretch>
                </pic:blipFill>
                <pic:spPr>
                  <a:xfrm>
                    <a:off x="0" y="0"/>
                    <a:ext cx="2743200" cy="329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778"/>
    <w:multiLevelType w:val="multilevel"/>
    <w:tmpl w:val="1C60FD7C"/>
    <w:lvl w:ilvl="0">
      <w:start w:val="1"/>
      <w:numFmt w:val="upperLetter"/>
      <w:lvlText w:val="%1."/>
      <w:lvlJc w:val="left"/>
      <w:pPr>
        <w:ind w:left="81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52E2D"/>
    <w:multiLevelType w:val="multilevel"/>
    <w:tmpl w:val="5D40D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2459327">
    <w:abstractNumId w:val="0"/>
  </w:num>
  <w:num w:numId="2" w16cid:durableId="43995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re0NDK1NLAwNjdQ0lEKTi0uzszPAykwrgUAy9xvsywAAAA="/>
  </w:docVars>
  <w:rsids>
    <w:rsidRoot w:val="00B47C3D"/>
    <w:rsid w:val="00066E28"/>
    <w:rsid w:val="000B5914"/>
    <w:rsid w:val="00120005"/>
    <w:rsid w:val="00135C07"/>
    <w:rsid w:val="00141F79"/>
    <w:rsid w:val="001F66C4"/>
    <w:rsid w:val="00205857"/>
    <w:rsid w:val="002673CE"/>
    <w:rsid w:val="00270424"/>
    <w:rsid w:val="002978DE"/>
    <w:rsid w:val="003C57B3"/>
    <w:rsid w:val="006860E8"/>
    <w:rsid w:val="006A05D3"/>
    <w:rsid w:val="006F045D"/>
    <w:rsid w:val="007E2ACA"/>
    <w:rsid w:val="008179A4"/>
    <w:rsid w:val="008472CE"/>
    <w:rsid w:val="008E4523"/>
    <w:rsid w:val="008F07B3"/>
    <w:rsid w:val="009347F6"/>
    <w:rsid w:val="0095681B"/>
    <w:rsid w:val="009B42F7"/>
    <w:rsid w:val="009D7B48"/>
    <w:rsid w:val="00B034EB"/>
    <w:rsid w:val="00B47C3D"/>
    <w:rsid w:val="00B55FED"/>
    <w:rsid w:val="00BA1258"/>
    <w:rsid w:val="00C85BEB"/>
    <w:rsid w:val="00D40586"/>
    <w:rsid w:val="00D4755D"/>
    <w:rsid w:val="00E0276A"/>
    <w:rsid w:val="00E04A7F"/>
    <w:rsid w:val="00E7090D"/>
    <w:rsid w:val="00EA215D"/>
    <w:rsid w:val="00F47253"/>
    <w:rsid w:val="00FD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654B"/>
  <w15:docId w15:val="{E42D59B7-0AEB-4BF1-B55B-90099E1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8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EB"/>
  </w:style>
  <w:style w:type="paragraph" w:styleId="Footer">
    <w:name w:val="footer"/>
    <w:basedOn w:val="Normal"/>
    <w:link w:val="FooterChar"/>
    <w:uiPriority w:val="99"/>
    <w:unhideWhenUsed/>
    <w:rsid w:val="00C8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EB"/>
  </w:style>
  <w:style w:type="paragraph" w:styleId="ListParagraph">
    <w:name w:val="List Paragraph"/>
    <w:basedOn w:val="Normal"/>
    <w:uiPriority w:val="34"/>
    <w:qFormat/>
    <w:rsid w:val="00E0276A"/>
    <w:pPr>
      <w:ind w:left="720"/>
      <w:contextualSpacing/>
    </w:pPr>
  </w:style>
  <w:style w:type="character" w:styleId="Hyperlink">
    <w:name w:val="Hyperlink"/>
    <w:basedOn w:val="DefaultParagraphFont"/>
    <w:uiPriority w:val="99"/>
    <w:unhideWhenUsed/>
    <w:rsid w:val="00E0276A"/>
    <w:rPr>
      <w:color w:val="0000FF" w:themeColor="hyperlink"/>
      <w:u w:val="single"/>
    </w:rPr>
  </w:style>
  <w:style w:type="character" w:styleId="FollowedHyperlink">
    <w:name w:val="FollowedHyperlink"/>
    <w:basedOn w:val="DefaultParagraphFont"/>
    <w:uiPriority w:val="99"/>
    <w:semiHidden/>
    <w:unhideWhenUsed/>
    <w:rsid w:val="00E0276A"/>
    <w:rPr>
      <w:color w:val="800080" w:themeColor="followedHyperlink"/>
      <w:u w:val="single"/>
    </w:rPr>
  </w:style>
  <w:style w:type="character" w:styleId="UnresolvedMention">
    <w:name w:val="Unresolved Mention"/>
    <w:basedOn w:val="DefaultParagraphFont"/>
    <w:uiPriority w:val="99"/>
    <w:semiHidden/>
    <w:unhideWhenUsed/>
    <w:rsid w:val="00141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6925">
      <w:bodyDiv w:val="1"/>
      <w:marLeft w:val="0"/>
      <w:marRight w:val="0"/>
      <w:marTop w:val="0"/>
      <w:marBottom w:val="0"/>
      <w:divBdr>
        <w:top w:val="none" w:sz="0" w:space="0" w:color="auto"/>
        <w:left w:val="none" w:sz="0" w:space="0" w:color="auto"/>
        <w:bottom w:val="none" w:sz="0" w:space="0" w:color="auto"/>
        <w:right w:val="none" w:sz="0" w:space="0" w:color="auto"/>
      </w:divBdr>
    </w:div>
    <w:div w:id="1111897432">
      <w:bodyDiv w:val="1"/>
      <w:marLeft w:val="0"/>
      <w:marRight w:val="0"/>
      <w:marTop w:val="0"/>
      <w:marBottom w:val="0"/>
      <w:divBdr>
        <w:top w:val="none" w:sz="0" w:space="0" w:color="auto"/>
        <w:left w:val="none" w:sz="0" w:space="0" w:color="auto"/>
        <w:bottom w:val="none" w:sz="0" w:space="0" w:color="auto"/>
        <w:right w:val="none" w:sz="0" w:space="0" w:color="auto"/>
      </w:divBdr>
    </w:div>
    <w:div w:id="168775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se4learning.org/curriculum/student-assessments-credential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henca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plbWxbiAFbR3J2YrgcKgtVxOJxVb8yRf/edit?usp=sharing&amp;ouid=105180858722020095313&amp;rtpof=true&amp;sd=tru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9" ma:contentTypeDescription="Create a new document." ma:contentTypeScope="" ma:versionID="f494bae097243815f7aa2de99876bc43">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25614b00d6ae2ac1afb0c5fff18e21ba"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L6U+xlkttWcc/eF++u4AZQKvg==">CgMxLjA4AHIhMURJV1NJZUk0SHN5dTV1RV84d1lVeXY2cmVrUEVRdFB3</go:docsCustomData>
</go:gDocsCustomXmlDataStorage>
</file>

<file path=customXml/itemProps1.xml><?xml version="1.0" encoding="utf-8"?>
<ds:datastoreItem xmlns:ds="http://schemas.openxmlformats.org/officeDocument/2006/customXml" ds:itemID="{B7D0183B-ACBA-40D7-B667-89E5407F3F36}"/>
</file>

<file path=customXml/itemProps2.xml><?xml version="1.0" encoding="utf-8"?>
<ds:datastoreItem xmlns:ds="http://schemas.openxmlformats.org/officeDocument/2006/customXml" ds:itemID="{1516BCAD-B518-4C59-B83A-B5CC5BEC75CA}">
  <ds:schemaRefs>
    <ds:schemaRef ds:uri="http://schemas.microsoft.com/sharepoint/v3/contenttype/forms"/>
  </ds:schemaRefs>
</ds:datastoreItem>
</file>

<file path=customXml/itemProps3.xml><?xml version="1.0" encoding="utf-8"?>
<ds:datastoreItem xmlns:ds="http://schemas.openxmlformats.org/officeDocument/2006/customXml" ds:itemID="{1A69CDE3-3212-4354-8473-F3B506710197}">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921</Words>
  <Characters>5194</Characters>
  <Application>Microsoft Office Word</Application>
  <DocSecurity>0</DocSecurity>
  <Lines>119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Lampe</dc:creator>
  <cp:lastModifiedBy>Dana Lampe</cp:lastModifiedBy>
  <cp:revision>6</cp:revision>
  <dcterms:created xsi:type="dcterms:W3CDTF">2025-10-31T16:16:00Z</dcterms:created>
  <dcterms:modified xsi:type="dcterms:W3CDTF">2025-11-17T14:58:00Z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3" name="MediaServiceImageTags">
    <vt:lpwstr/>
  </property>
  <property fmtid="{D5CDD505-2E9C-101B-9397-08002B2CF9AE}" pid="4" name="docLang">
    <vt:lpwstr>en</vt:lpwstr>
  </property>
</Properties>
</file>