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ACTE Board Report</w:t>
      </w:r>
    </w:p>
    <w:p w:rsidR="00000000" w:rsidDel="00000000" w:rsidP="00000000" w:rsidRDefault="00000000" w:rsidRPr="00000000" w14:paraId="00000002">
      <w:pPr>
        <w:tabs>
          <w:tab w:val="left" w:leader="none" w:pos="2160"/>
        </w:tabs>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tabs>
          <w:tab w:val="left" w:leader="none" w:pos="2160"/>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 or Division: </w:t>
        <w:tab/>
        <w:t xml:space="preserve">Region III</w:t>
      </w:r>
    </w:p>
    <w:p w:rsidR="00000000" w:rsidDel="00000000" w:rsidP="00000000" w:rsidRDefault="00000000" w:rsidRPr="00000000" w14:paraId="00000004">
      <w:pPr>
        <w:tabs>
          <w:tab w:val="left" w:leader="none" w:pos="2160"/>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Submitted by:</w:t>
        <w:tab/>
        <w:t xml:space="preserve">Martin Hanley</w:t>
      </w:r>
    </w:p>
    <w:p w:rsidR="00000000" w:rsidDel="00000000" w:rsidP="00000000" w:rsidRDefault="00000000" w:rsidRPr="00000000" w14:paraId="00000005">
      <w:pPr>
        <w:tabs>
          <w:tab w:val="left" w:leader="none" w:pos="2160"/>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Submitted: </w:t>
        <w:tab/>
        <w:t xml:space="preserve">October 24, 2025</w:t>
        <w:tab/>
      </w:r>
    </w:p>
    <w:p w:rsidR="00000000" w:rsidDel="00000000" w:rsidP="00000000" w:rsidRDefault="00000000" w:rsidRPr="00000000" w14:paraId="00000006">
      <w:pPr>
        <w:pStyle w:val="Heading1"/>
        <w:numPr>
          <w:ilvl w:val="0"/>
          <w:numId w:val="1"/>
        </w:numPr>
        <w:spacing w:after="12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Strategic Plan</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rPr>
      </w:pPr>
      <w:r w:rsidDel="00000000" w:rsidR="00000000" w:rsidRPr="00000000">
        <w:rPr>
          <w:rtl w:val="0"/>
        </w:rPr>
      </w:r>
    </w:p>
    <w:tbl>
      <w:tblPr>
        <w:tblStyle w:val="Table1"/>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0"/>
        <w:tblGridChange w:id="0">
          <w:tblGrid>
            <w:gridCol w:w="10800"/>
          </w:tblGrid>
        </w:tblGridChange>
      </w:tblGrid>
      <w:tr>
        <w:trPr>
          <w:cantSplit w:val="0"/>
          <w:trHeight w:val="1152" w:hRule="atLeast"/>
          <w:tblHeader w:val="0"/>
        </w:trPr>
        <w:tc>
          <w:tcPr/>
          <w:p w:rsidR="00000000" w:rsidDel="00000000" w:rsidP="00000000" w:rsidRDefault="00000000" w:rsidRPr="00000000" w14:paraId="0000000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Provide the link to the Multi-year Strategic Planning Worksheet</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Link:</w:t>
            </w:r>
            <w:r w:rsidDel="00000000" w:rsidR="00000000" w:rsidRPr="00000000">
              <w:rPr>
                <w:rFonts w:ascii="Times New Roman" w:cs="Times New Roman" w:eastAsia="Times New Roman" w:hAnsi="Times New Roman"/>
                <w:b w:val="1"/>
                <w:i w:val="1"/>
                <w:color w:val="000000"/>
                <w:sz w:val="24"/>
                <w:szCs w:val="24"/>
                <w:rtl w:val="0"/>
              </w:rPr>
              <w:t xml:space="preserve">  </w:t>
            </w:r>
            <w:hyperlink r:id="rId7">
              <w:r w:rsidDel="00000000" w:rsidR="00000000" w:rsidRPr="00000000">
                <w:rPr>
                  <w:rFonts w:ascii="Times New Roman" w:cs="Times New Roman" w:eastAsia="Times New Roman" w:hAnsi="Times New Roman"/>
                  <w:color w:val="0000ff"/>
                  <w:sz w:val="24"/>
                  <w:szCs w:val="24"/>
                  <w:u w:val="single"/>
                  <w:rtl w:val="0"/>
                </w:rPr>
                <w:t xml:space="preserve">Region III Strategic Plan</w:t>
              </w:r>
            </w:hyperlink>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did a revisit of our strategic goals at the Region III conference this summer. We are working to clarify and clean up the goals and the intermediate steps. Policy committee members are taking on roles to lead in the discussions with other Region III members.</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0D">
      <w:pPr>
        <w:pStyle w:val="Heading1"/>
        <w:numPr>
          <w:ilvl w:val="0"/>
          <w:numId w:val="1"/>
        </w:numPr>
        <w:spacing w:after="12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Contributions to Region and Division Members</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90" w:line="240" w:lineRule="auto"/>
        <w:ind w:right="38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remember the importance of engagement of members during this time and let ACTE know how we can help engaging your members with you! Please also let us know how you have engaged ACTE members within the past 4 months. Indicate if the work falls under any of the Strategic Plan.</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90" w:line="240" w:lineRule="auto"/>
        <w:ind w:right="388"/>
        <w:rPr>
          <w:rFonts w:ascii="Times New Roman" w:cs="Times New Roman" w:eastAsia="Times New Roman" w:hAnsi="Times New Roman"/>
          <w:color w:val="000000"/>
          <w:sz w:val="24"/>
          <w:szCs w:val="24"/>
        </w:rPr>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720" w:left="720" w:right="720" w:header="720" w:footer="720"/>
          <w:pgNumType w:start="1"/>
          <w:titlePg w:val="1"/>
        </w:sectPr>
      </w:pPr>
      <w:r w:rsidDel="00000000" w:rsidR="00000000" w:rsidRPr="00000000">
        <w:rPr>
          <w:rFonts w:ascii="Times New Roman" w:cs="Times New Roman" w:eastAsia="Times New Roman" w:hAnsi="Times New Roman"/>
          <w:b w:val="1"/>
          <w:i w:val="1"/>
          <w:color w:val="000000"/>
          <w:sz w:val="24"/>
          <w:szCs w:val="24"/>
          <w:rtl w:val="0"/>
        </w:rPr>
        <w:t xml:space="preserve">Divisions/NRS, please share the work of Areas of Interest and Sections here</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bl>
      <w:tblPr>
        <w:tblStyle w:val="Table2"/>
        <w:tblW w:w="1080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0"/>
        <w:tblGridChange w:id="0">
          <w:tblGrid>
            <w:gridCol w:w="10800"/>
          </w:tblGrid>
        </w:tblGridChange>
      </w:tblGrid>
      <w:tr>
        <w:trPr>
          <w:cantSplit w:val="0"/>
          <w:trHeight w:val="1152" w:hRule="atLeast"/>
          <w:tblHeader w:val="0"/>
        </w:trPr>
        <w:tc>
          <w:tcPr/>
          <w:p w:rsidR="00000000" w:rsidDel="00000000" w:rsidP="00000000" w:rsidRDefault="00000000" w:rsidRPr="00000000" w14:paraId="00000011">
            <w:pPr>
              <w:widowControl w:val="0"/>
              <w:ind w:right="3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Hanley - Region III VP - all zoom unless otherwise noted</w:t>
            </w:r>
          </w:p>
          <w:p w:rsidR="00000000" w:rsidDel="00000000" w:rsidP="00000000" w:rsidRDefault="00000000" w:rsidRPr="00000000" w14:paraId="00000013">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25 - ACTE Board Book Review</w:t>
            </w:r>
          </w:p>
          <w:p w:rsidR="00000000" w:rsidDel="00000000" w:rsidP="00000000" w:rsidRDefault="00000000" w:rsidRPr="00000000" w14:paraId="00000014">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29-July3 - ACTE Board Meeting - In Alexandria</w:t>
            </w:r>
          </w:p>
          <w:p w:rsidR="00000000" w:rsidDel="00000000" w:rsidP="00000000" w:rsidRDefault="00000000" w:rsidRPr="00000000" w14:paraId="00000015">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9 - Region 3 Conference Debrief call with IL team and ACTE team</w:t>
            </w:r>
          </w:p>
          <w:p w:rsidR="00000000" w:rsidDel="00000000" w:rsidP="00000000" w:rsidRDefault="00000000" w:rsidRPr="00000000" w14:paraId="00000016">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15 - Region Conference Responsibilities checklist meeting with Region VPs</w:t>
            </w:r>
          </w:p>
          <w:p w:rsidR="00000000" w:rsidDel="00000000" w:rsidP="00000000" w:rsidRDefault="00000000" w:rsidRPr="00000000" w14:paraId="00000017">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21-24 - Attended MOACTE/MCCTA Summer Conference - Face-to-face</w:t>
            </w:r>
          </w:p>
          <w:p w:rsidR="00000000" w:rsidDel="00000000" w:rsidP="00000000" w:rsidRDefault="00000000" w:rsidRPr="00000000" w14:paraId="00000018">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11- Committee/Task Force Task Force meeting</w:t>
            </w:r>
          </w:p>
          <w:p w:rsidR="00000000" w:rsidDel="00000000" w:rsidP="00000000" w:rsidRDefault="00000000" w:rsidRPr="00000000" w14:paraId="00000019">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13 - Region III Conference Planning Call with ACTE and WI</w:t>
            </w:r>
          </w:p>
          <w:p w:rsidR="00000000" w:rsidDel="00000000" w:rsidP="00000000" w:rsidRDefault="00000000" w:rsidRPr="00000000" w14:paraId="0000001A">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18 - Membership Task Force meeting</w:t>
            </w:r>
          </w:p>
          <w:p w:rsidR="00000000" w:rsidDel="00000000" w:rsidP="00000000" w:rsidRDefault="00000000" w:rsidRPr="00000000" w14:paraId="0000001B">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27 - Region III Policy Committee Meetup</w:t>
            </w:r>
          </w:p>
          <w:p w:rsidR="00000000" w:rsidDel="00000000" w:rsidP="00000000" w:rsidRDefault="00000000" w:rsidRPr="00000000" w14:paraId="0000001C">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4 - Membership Task Force Meeting</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8 - ACTE ByLaws Committee Meeting</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12 - MCCTA Planning Meeting</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15 - Regions Meeting</w:t>
            </w:r>
          </w:p>
          <w:p w:rsidR="00000000" w:rsidDel="00000000" w:rsidP="00000000" w:rsidRDefault="00000000" w:rsidRPr="00000000" w14:paraId="00000020">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18 - Region III Policy Committee Meetup</w:t>
            </w:r>
          </w:p>
          <w:p w:rsidR="00000000" w:rsidDel="00000000" w:rsidP="00000000" w:rsidRDefault="00000000" w:rsidRPr="00000000" w14:paraId="00000021">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22-26 - ACTE/NCLA Best Practices Conference - In Person (St. Louis)</w:t>
            </w:r>
          </w:p>
          <w:p w:rsidR="00000000" w:rsidDel="00000000" w:rsidP="00000000" w:rsidRDefault="00000000" w:rsidRPr="00000000" w14:paraId="00000022">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30 - MCCA Planning Meeting</w:t>
            </w:r>
          </w:p>
          <w:p w:rsidR="00000000" w:rsidDel="00000000" w:rsidP="00000000" w:rsidRDefault="00000000" w:rsidRPr="00000000" w14:paraId="00000023">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2 - Membership Task Force Meeting</w:t>
            </w:r>
          </w:p>
          <w:p w:rsidR="00000000" w:rsidDel="00000000" w:rsidP="00000000" w:rsidRDefault="00000000" w:rsidRPr="00000000" w14:paraId="00000024">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2-3 - Multiple interviews with Region III Award winners prior to national interview</w:t>
            </w:r>
          </w:p>
          <w:p w:rsidR="00000000" w:rsidDel="00000000" w:rsidP="00000000" w:rsidRDefault="00000000" w:rsidRPr="00000000" w14:paraId="00000025">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3 - Committee/Task Force Task Force Meeting</w:t>
            </w:r>
          </w:p>
          <w:p w:rsidR="00000000" w:rsidDel="00000000" w:rsidP="00000000" w:rsidRDefault="00000000" w:rsidRPr="00000000" w14:paraId="00000026">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6 - State Chapter Awards Task Force Meeting</w:t>
            </w:r>
          </w:p>
          <w:p w:rsidR="00000000" w:rsidDel="00000000" w:rsidP="00000000" w:rsidRDefault="00000000" w:rsidRPr="00000000" w14:paraId="00000027">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16 - Region III Policy Committee Meetup</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23 - MCCTA Planning Meeting</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120" w:line="240" w:lineRule="auto"/>
        <w:ind w:right="26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Table3"/>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0"/>
        <w:tblGridChange w:id="0">
          <w:tblGrid>
            <w:gridCol w:w="10800"/>
          </w:tblGrid>
        </w:tblGridChange>
      </w:tblGrid>
      <w:tr>
        <w:trPr>
          <w:cantSplit w:val="0"/>
          <w:trHeight w:val="1152" w:hRule="atLeast"/>
          <w:tblHeader w:val="0"/>
        </w:trPr>
        <w:tc>
          <w:tcPr/>
          <w:p w:rsidR="00000000" w:rsidDel="00000000" w:rsidP="00000000" w:rsidRDefault="00000000" w:rsidRPr="00000000" w14:paraId="0000002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Illinois</w:t>
            </w:r>
            <w:r w:rsidDel="00000000" w:rsidR="00000000" w:rsidRPr="00000000">
              <w:rPr>
                <w:rFonts w:ascii="Times New Roman" w:cs="Times New Roman" w:eastAsia="Times New Roman" w:hAnsi="Times New Roman"/>
                <w:sz w:val="24"/>
                <w:szCs w:val="24"/>
                <w:rtl w:val="0"/>
              </w:rPr>
              <w:t xml:space="preserve"> - Planning for their state conference in February. The association hired a consulting group to work with their strategic plan and are now updating web site and committees to better align with their state’s strategic plan.</w:t>
            </w:r>
          </w:p>
          <w:p w:rsidR="00000000" w:rsidDel="00000000" w:rsidP="00000000" w:rsidRDefault="00000000" w:rsidRPr="00000000" w14:paraId="0000002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Indiana</w:t>
            </w:r>
            <w:r w:rsidDel="00000000" w:rsidR="00000000" w:rsidRPr="00000000">
              <w:rPr>
                <w:rFonts w:ascii="Times New Roman" w:cs="Times New Roman" w:eastAsia="Times New Roman" w:hAnsi="Times New Roman"/>
                <w:sz w:val="24"/>
                <w:szCs w:val="24"/>
                <w:rtl w:val="0"/>
              </w:rPr>
              <w:t xml:space="preserve"> - Indiana held its state conference with over 410 attendees. They celebrated their 60th anniversary. CTSOs participated in the event. A new CTE teacher preconference attracted 150 attendees.</w:t>
            </w: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Minnesota </w:t>
            </w:r>
            <w:r w:rsidDel="00000000" w:rsidR="00000000" w:rsidRPr="00000000">
              <w:rPr>
                <w:rFonts w:ascii="Times New Roman" w:cs="Times New Roman" w:eastAsia="Times New Roman" w:hAnsi="Times New Roman"/>
                <w:sz w:val="24"/>
                <w:szCs w:val="24"/>
                <w:rtl w:val="0"/>
              </w:rPr>
              <w:t xml:space="preserve">- They are working on updating based upon the new career clusters from Advance CTE. They have developed a new CTE induction program and are developing a new track at the state conference for school administrators to learn about Perkins.</w:t>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Wisconsin </w:t>
            </w:r>
            <w:r w:rsidDel="00000000" w:rsidR="00000000" w:rsidRPr="00000000">
              <w:rPr>
                <w:rFonts w:ascii="Times New Roman" w:cs="Times New Roman" w:eastAsia="Times New Roman" w:hAnsi="Times New Roman"/>
                <w:sz w:val="24"/>
                <w:szCs w:val="24"/>
                <w:rtl w:val="0"/>
              </w:rPr>
              <w:t xml:space="preserve">- They are close to forming their official state association. They are just working through how to vote on board members.  A team is being assembled to help plan the Region III conference.</w:t>
            </w:r>
          </w:p>
          <w:p w:rsidR="00000000" w:rsidDel="00000000" w:rsidP="00000000" w:rsidRDefault="00000000" w:rsidRPr="00000000" w14:paraId="0000003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Missouri</w:t>
            </w:r>
            <w:r w:rsidDel="00000000" w:rsidR="00000000" w:rsidRPr="00000000">
              <w:rPr>
                <w:rFonts w:ascii="Times New Roman" w:cs="Times New Roman" w:eastAsia="Times New Roman" w:hAnsi="Times New Roman"/>
                <w:sz w:val="24"/>
                <w:szCs w:val="24"/>
                <w:rtl w:val="0"/>
              </w:rPr>
              <w:t xml:space="preserve"> - Missouri held its summer conference in July. ACTE/NCLA Best Practices was held in St. Louis. The administrators division is planning on highlighting activities and best practices from the different states in the region at their winter conference.</w:t>
            </w:r>
          </w:p>
        </w:tc>
      </w:tr>
    </w:tbl>
    <w:p w:rsidR="00000000" w:rsidDel="00000000" w:rsidP="00000000" w:rsidRDefault="00000000" w:rsidRPr="00000000" w14:paraId="00000037">
      <w:pPr>
        <w:pStyle w:val="Heading1"/>
        <w:numPr>
          <w:ilvl w:val="0"/>
          <w:numId w:val="1"/>
        </w:numPr>
        <w:spacing w:after="12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Succession Planning</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any information you wish you had been provided during your new Board Orientation (what you know now that you wish you had known then)? Do you have any suggestions on future Vice Presidents for your Region or Division? </w:t>
      </w:r>
      <w:r w:rsidDel="00000000" w:rsidR="00000000" w:rsidRPr="00000000">
        <w:rPr>
          <w:rFonts w:ascii="Times New Roman" w:cs="Times New Roman" w:eastAsia="Times New Roman" w:hAnsi="Times New Roman"/>
          <w:b w:val="1"/>
          <w:sz w:val="24"/>
          <w:szCs w:val="24"/>
          <w:rtl w:val="0"/>
        </w:rPr>
        <w:t xml:space="preserve">Or any suggestions on future ACTE President-Elect candidates?</w:t>
      </w:r>
      <w:r w:rsidDel="00000000" w:rsidR="00000000" w:rsidRPr="00000000">
        <w:rPr>
          <w:rtl w:val="0"/>
        </w:rPr>
      </w:r>
    </w:p>
    <w:tbl>
      <w:tblPr>
        <w:tblStyle w:val="Table4"/>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0"/>
        <w:tblGridChange w:id="0">
          <w:tblGrid>
            <w:gridCol w:w="10800"/>
          </w:tblGrid>
        </w:tblGridChange>
      </w:tblGrid>
      <w:tr>
        <w:trPr>
          <w:cantSplit w:val="0"/>
          <w:trHeight w:val="1152" w:hRule="atLeast"/>
          <w:tblHeader w:val="0"/>
        </w:trPr>
        <w:tc>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started sharing with the policy committee about encouraging candidates for vp-elect roles. Also have reached out to our new fellows to start integrating with our policy committee before they are official fellows.</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C">
      <w:pPr>
        <w:pStyle w:val="Heading1"/>
        <w:numPr>
          <w:ilvl w:val="0"/>
          <w:numId w:val="1"/>
        </w:numPr>
        <w:spacing w:after="1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Region/Division Concerns</w:t>
      </w:r>
    </w:p>
    <w:tbl>
      <w:tblPr>
        <w:tblStyle w:val="Table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rHeight w:val="720" w:hRule="atLeast"/>
          <w:tblHeader w:val="0"/>
        </w:trPr>
        <w:tc>
          <w:tcPr>
            <w:vAlign w:val="center"/>
          </w:tcPr>
          <w:p w:rsidR="00000000" w:rsidDel="00000000" w:rsidP="00000000" w:rsidRDefault="00000000" w:rsidRPr="00000000" w14:paraId="000000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are your concerns for your Region/Division specifically</w:t>
            </w:r>
          </w:p>
        </w:tc>
        <w:tc>
          <w:tcPr>
            <w:vAlign w:val="center"/>
          </w:tcPr>
          <w:p w:rsidR="00000000" w:rsidDel="00000000" w:rsidP="00000000" w:rsidRDefault="00000000" w:rsidRPr="00000000" w14:paraId="0000003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are the implications for ACTE?</w:t>
            </w:r>
          </w:p>
        </w:tc>
        <w:tc>
          <w:tcPr>
            <w:vAlign w:val="center"/>
          </w:tcPr>
          <w:p w:rsidR="00000000" w:rsidDel="00000000" w:rsidP="00000000" w:rsidRDefault="00000000" w:rsidRPr="00000000" w14:paraId="000000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what capacity can ACTE assist in addressing this issue?</w:t>
            </w:r>
          </w:p>
        </w:tc>
      </w:tr>
      <w:tr>
        <w:trPr>
          <w:cantSplit w:val="0"/>
          <w:trHeight w:val="1152" w:hRule="atLeast"/>
          <w:tblHeader w:val="0"/>
        </w:trPr>
        <w:tc>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at the Region III Conference</w:t>
            </w:r>
          </w:p>
        </w:tc>
        <w:tc>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widowControl w:val="0"/>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engaged members at the region level supports ACTE engagement at the nation level.</w:t>
            </w:r>
          </w:p>
          <w:p w:rsidR="00000000" w:rsidDel="00000000" w:rsidP="00000000" w:rsidRDefault="00000000" w:rsidRPr="00000000" w14:paraId="00000044">
            <w:pPr>
              <w:widowControl w:val="0"/>
              <w:ind w:right="388"/>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ACTE’s heavy assistance for the planning of the 2026 Region III Conference in Wisconsin will be helpful. A signed MOU as soon as possible will be helpful. I know we are waiting on final WI association formation, but what can we do to help that process?</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tl w:val="0"/>
              </w:rPr>
            </w:r>
          </w:p>
        </w:tc>
      </w:tr>
      <w:tr>
        <w:trPr>
          <w:cantSplit w:val="0"/>
          <w:trHeight w:val="1152" w:hRule="atLeast"/>
          <w:tblHeader w:val="0"/>
        </w:trPr>
        <w:tc>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4B">
      <w:pPr>
        <w:pStyle w:val="Heading1"/>
        <w:numPr>
          <w:ilvl w:val="0"/>
          <w:numId w:val="1"/>
        </w:numPr>
        <w:spacing w:after="12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Topics to be discussed during Division/Region Breakouts</w:t>
      </w:r>
    </w:p>
    <w:tbl>
      <w:tblPr>
        <w:tblStyle w:val="Table6"/>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0"/>
        <w:tblGridChange w:id="0">
          <w:tblGrid>
            <w:gridCol w:w="10800"/>
          </w:tblGrid>
        </w:tblGridChange>
      </w:tblGrid>
      <w:tr>
        <w:trPr>
          <w:cantSplit w:val="0"/>
          <w:trHeight w:val="1152" w:hRule="atLeast"/>
          <w:tblHeader w:val="0"/>
        </w:trPr>
        <w:tc>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at this time</w:t>
            </w:r>
          </w:p>
        </w:tc>
      </w:tr>
    </w:tbl>
    <w:p w:rsidR="00000000" w:rsidDel="00000000" w:rsidP="00000000" w:rsidRDefault="00000000" w:rsidRPr="00000000" w14:paraId="0000004E">
      <w:pPr>
        <w:pStyle w:val="Heading1"/>
        <w:numPr>
          <w:ilvl w:val="0"/>
          <w:numId w:val="1"/>
        </w:numPr>
        <w:spacing w:after="12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Items to be considered for placement on the Board Agenda</w:t>
      </w: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Topics to be placed on the board agenda for discussion. Give background information for the purpose of the discussion.</w:t>
      </w:r>
    </w:p>
    <w:tbl>
      <w:tblPr>
        <w:tblStyle w:val="Table7"/>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0"/>
        <w:tblGridChange w:id="0">
          <w:tblGrid>
            <w:gridCol w:w="10800"/>
          </w:tblGrid>
        </w:tblGridChange>
      </w:tblGrid>
      <w:tr>
        <w:trPr>
          <w:cantSplit w:val="0"/>
          <w:trHeight w:val="1152" w:hRule="atLeast"/>
          <w:tblHeader w:val="0"/>
        </w:trPr>
        <w:tc>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at this time.</w:t>
            </w:r>
          </w:p>
        </w:tc>
      </w:tr>
    </w:tbl>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Items (those that will introduce a motion). </w:t>
      </w:r>
      <w:r w:rsidDel="00000000" w:rsidR="00000000" w:rsidRPr="00000000">
        <w:rPr>
          <w:rFonts w:ascii="Times New Roman" w:cs="Times New Roman" w:eastAsia="Times New Roman" w:hAnsi="Times New Roman"/>
          <w:b w:val="1"/>
          <w:sz w:val="24"/>
          <w:szCs w:val="24"/>
          <w:rtl w:val="0"/>
        </w:rPr>
        <w:t xml:space="preserve">Indicate item, rationale and possible wording for motion.</w:t>
      </w:r>
      <w:r w:rsidDel="00000000" w:rsidR="00000000" w:rsidRPr="00000000">
        <w:rPr>
          <w:rtl w:val="0"/>
        </w:rPr>
      </w:r>
    </w:p>
    <w:tbl>
      <w:tblPr>
        <w:tblStyle w:val="Table8"/>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0"/>
        <w:tblGridChange w:id="0">
          <w:tblGrid>
            <w:gridCol w:w="10800"/>
          </w:tblGrid>
        </w:tblGridChange>
      </w:tblGrid>
      <w:tr>
        <w:trPr>
          <w:cantSplit w:val="0"/>
          <w:trHeight w:val="1152" w:hRule="atLeast"/>
          <w:tblHeader w:val="0"/>
        </w:trPr>
        <w:tc>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at this time.</w:t>
            </w:r>
          </w:p>
        </w:tc>
      </w:tr>
    </w:tbl>
    <w:p w:rsidR="00000000" w:rsidDel="00000000" w:rsidP="00000000" w:rsidRDefault="00000000" w:rsidRPr="00000000" w14:paraId="00000056">
      <w:pPr>
        <w:pStyle w:val="Heading1"/>
        <w:numPr>
          <w:ilvl w:val="0"/>
          <w:numId w:val="1"/>
        </w:numPr>
        <w:spacing w:after="12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Request for Information</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to Officers, Exec. Committee, or Staff to be answered but don’t need discussion at the board meeting.</w:t>
      </w:r>
    </w:p>
    <w:tbl>
      <w:tblPr>
        <w:tblStyle w:val="Table9"/>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0"/>
        <w:tblGridChange w:id="0">
          <w:tblGrid>
            <w:gridCol w:w="10800"/>
          </w:tblGrid>
        </w:tblGridChange>
      </w:tblGrid>
      <w:tr>
        <w:trPr>
          <w:cantSplit w:val="0"/>
          <w:trHeight w:val="1152" w:hRule="atLeast"/>
          <w:tblHeader w:val="0"/>
        </w:trPr>
        <w:tc>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ind w:right="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at this time.</w:t>
            </w:r>
          </w:p>
        </w:tc>
      </w:tr>
    </w:tbl>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14.399999999999999" w:lineRule="auto"/>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6815138</wp:posOffset>
              </wp:positionH>
              <wp:positionV relativeFrom="paragraph">
                <wp:posOffset>9202738</wp:posOffset>
              </wp:positionV>
              <wp:extent cx="190500" cy="232410"/>
              <wp:effectExtent b="0" l="0" r="0" t="0"/>
              <wp:wrapNone/>
              <wp:docPr id="1283060613" name=""/>
              <a:graphic>
                <a:graphicData uri="http://schemas.microsoft.com/office/word/2010/wordprocessingShape">
                  <wps:wsp>
                    <wps:cNvSpPr/>
                    <wps:cNvPr id="2" name="Shape 2"/>
                    <wps:spPr>
                      <a:xfrm>
                        <a:off x="5269800" y="3682845"/>
                        <a:ext cx="152400" cy="194310"/>
                      </a:xfrm>
                      <a:custGeom>
                        <a:rect b="b" l="l" r="r" t="t"/>
                        <a:pathLst>
                          <a:path extrusionOk="0" h="194310" w="152400">
                            <a:moveTo>
                              <a:pt x="0" y="0"/>
                            </a:moveTo>
                            <a:lnTo>
                              <a:pt x="0" y="194310"/>
                            </a:lnTo>
                            <a:lnTo>
                              <a:pt x="152400" y="194310"/>
                            </a:lnTo>
                            <a:lnTo>
                              <a:pt x="152400" y="0"/>
                            </a:lnTo>
                            <a:close/>
                          </a:path>
                        </a:pathLst>
                      </a:custGeom>
                      <a:noFill/>
                      <a:ln>
                        <a:noFill/>
                      </a:ln>
                    </wps:spPr>
                    <wps:txbx>
                      <w:txbxContent>
                        <w:p w:rsidR="00000000" w:rsidDel="00000000" w:rsidP="00000000" w:rsidRDefault="00000000" w:rsidRPr="00000000">
                          <w:pPr>
                            <w:spacing w:after="0" w:before="10" w:line="240"/>
                            <w:ind w:left="60" w:right="0" w:firstLine="18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6815138</wp:posOffset>
              </wp:positionH>
              <wp:positionV relativeFrom="paragraph">
                <wp:posOffset>9202738</wp:posOffset>
              </wp:positionV>
              <wp:extent cx="190500" cy="232410"/>
              <wp:effectExtent b="0" l="0" r="0" t="0"/>
              <wp:wrapNone/>
              <wp:docPr id="1283060613"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90500" cy="23241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after="0" w:line="240" w:lineRule="auto"/>
      <w:jc w:val="center"/>
      <w:rPr>
        <w:rFonts w:ascii="Verdana" w:cs="Verdana" w:eastAsia="Verdana" w:hAnsi="Verdana"/>
        <w:color w:val="000000"/>
        <w:sz w:val="20"/>
        <w:szCs w:val="20"/>
      </w:rPr>
    </w:pPr>
    <w:r w:rsidDel="00000000" w:rsidR="00000000" w:rsidRPr="00000000">
      <w:rPr>
        <w:rFonts w:ascii="Verdana" w:cs="Verdana" w:eastAsia="Verdana" w:hAnsi="Verdana"/>
        <w:sz w:val="20"/>
        <w:szCs w:val="20"/>
      </w:rPr>
      <w:drawing>
        <wp:inline distB="0" distT="0" distL="0" distR="0">
          <wp:extent cx="2743200" cy="333375"/>
          <wp:effectExtent b="0" l="0" r="0" t="0"/>
          <wp:docPr id="128306061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743200" cy="333375"/>
                  </a:xfrm>
                  <a:prstGeom prst="rect"/>
                  <a:ln/>
                </pic:spPr>
              </pic:pic>
            </a:graphicData>
          </a:graphic>
        </wp:inline>
      </w:drawing>
    </w:r>
    <w:r w:rsidDel="00000000" w:rsidR="00000000" w:rsidRPr="00000000">
      <w:rPr>
        <w:rFonts w:ascii="Verdana" w:cs="Verdana" w:eastAsia="Verdana" w:hAnsi="Verdana"/>
        <w:sz w:val="20"/>
        <w:szCs w:val="20"/>
      </w:rPr>
      <w:drawing>
        <wp:inline distB="0" distT="0" distL="0" distR="0">
          <wp:extent cx="2743200" cy="333375"/>
          <wp:effectExtent b="0" l="0" r="0" t="0"/>
          <wp:docPr id="1283060616"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2743200" cy="333375"/>
                  </a:xfrm>
                  <a:prstGeom prst="rect"/>
                  <a:ln/>
                </pic:spPr>
              </pic:pic>
            </a:graphicData>
          </a:graphic>
        </wp:inline>
      </w:drawing>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Pr>
      <w:drawing>
        <wp:inline distB="0" distT="0" distL="0" distR="0">
          <wp:extent cx="2743200" cy="333375"/>
          <wp:effectExtent b="0" l="0" r="0" t="0"/>
          <wp:docPr id="1283060615" name="image5.jpg"/>
          <a:graphic>
            <a:graphicData uri="http://schemas.openxmlformats.org/drawingml/2006/picture">
              <pic:pic>
                <pic:nvPicPr>
                  <pic:cNvPr id="0" name="image5.jpg"/>
                  <pic:cNvPicPr preferRelativeResize="0"/>
                </pic:nvPicPr>
                <pic:blipFill>
                  <a:blip r:embed="rId3"/>
                  <a:srcRect b="0" l="0" r="0" t="0"/>
                  <a:stretch>
                    <a:fillRect/>
                  </a:stretch>
                </pic:blipFill>
                <pic:spPr>
                  <a:xfrm>
                    <a:off x="0" y="0"/>
                    <a:ext cx="2743200" cy="333375"/>
                  </a:xfrm>
                  <a:prstGeom prst="rect"/>
                  <a:ln/>
                </pic:spPr>
              </pic:pic>
            </a:graphicData>
          </a:graphic>
        </wp:inline>
      </w:drawing>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sz w:val="20"/>
        <w:szCs w:val="20"/>
      </w:rPr>
      <w:drawing>
        <wp:inline distB="0" distT="0" distL="0" distR="0">
          <wp:extent cx="2743200" cy="333375"/>
          <wp:effectExtent b="0" l="0" r="0" t="0"/>
          <wp:docPr id="1283060618" name="image6.jpg"/>
          <a:graphic>
            <a:graphicData uri="http://schemas.openxmlformats.org/drawingml/2006/picture">
              <pic:pic>
                <pic:nvPicPr>
                  <pic:cNvPr id="0" name="image6.jpg"/>
                  <pic:cNvPicPr preferRelativeResize="0"/>
                </pic:nvPicPr>
                <pic:blipFill>
                  <a:blip r:embed="rId4"/>
                  <a:srcRect b="0" l="0" r="0" t="0"/>
                  <a:stretch>
                    <a:fillRect/>
                  </a:stretch>
                </pic:blipFill>
                <pic:spPr>
                  <a:xfrm>
                    <a:off x="0" y="0"/>
                    <a:ext cx="2743200" cy="333375"/>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tabs>
        <w:tab w:val="left" w:leader="none" w:pos="5461"/>
      </w:tabs>
      <w:spacing w:line="240" w:lineRule="auto"/>
      <w:jc w:val="center"/>
      <w:rPr/>
    </w:pPr>
    <w:r w:rsidDel="00000000" w:rsidR="00000000" w:rsidRPr="00000000">
      <w:rPr>
        <w:rFonts w:ascii="Verdana" w:cs="Verdana" w:eastAsia="Verdana" w:hAnsi="Verdana"/>
        <w:sz w:val="20"/>
        <w:szCs w:val="20"/>
      </w:rPr>
      <w:drawing>
        <wp:inline distB="0" distT="0" distL="0" distR="0">
          <wp:extent cx="2743200" cy="333375"/>
          <wp:effectExtent b="0" l="0" r="0" t="0"/>
          <wp:docPr id="1283060617" name="image4.jpg"/>
          <a:graphic>
            <a:graphicData uri="http://schemas.openxmlformats.org/drawingml/2006/picture">
              <pic:pic>
                <pic:nvPicPr>
                  <pic:cNvPr id="0" name="image4.jpg"/>
                  <pic:cNvPicPr preferRelativeResize="0"/>
                </pic:nvPicPr>
                <pic:blipFill>
                  <a:blip r:embed="rId5"/>
                  <a:srcRect b="0" l="0" r="0" t="0"/>
                  <a:stretch>
                    <a:fillRect/>
                  </a:stretch>
                </pic:blipFill>
                <pic:spPr>
                  <a:xfrm>
                    <a:off x="0" y="0"/>
                    <a:ext cx="2743200" cy="333375"/>
                  </a:xfrm>
                  <a:prstGeom prst="rect"/>
                  <a:ln/>
                </pic:spPr>
              </pic:pic>
            </a:graphicData>
          </a:graphic>
        </wp:inline>
      </w:drawing>
    </w:r>
    <w:r w:rsidDel="00000000" w:rsidR="00000000" w:rsidRPr="00000000">
      <w:rPr/>
      <w:drawing>
        <wp:inline distB="0" distT="0" distL="0" distR="0">
          <wp:extent cx="2743200" cy="329184"/>
          <wp:effectExtent b="0" l="0" r="0" t="0"/>
          <wp:docPr id="1283060619"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43200" cy="329184"/>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810" w:hanging="360"/>
      </w:pPr>
      <w:rPr>
        <w:b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C85B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C85BEB"/>
  </w:style>
  <w:style w:type="paragraph" w:styleId="Footer">
    <w:name w:val="footer"/>
    <w:basedOn w:val="Normal"/>
    <w:link w:val="FooterChar"/>
    <w:uiPriority w:val="99"/>
    <w:unhideWhenUsed w:val="1"/>
    <w:rsid w:val="00C85B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C85BEB"/>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docs.google.com/document/d/1Ux1jRCFVqRDvBZjCbkfj2_YFOezCXOTt/edit?usp=sharing&amp;ouid=106768998825878822420&amp;rtpof=true&amp;sd=true"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footer" Target="footer1.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jpg"/><Relationship Id="rId3" Type="http://schemas.openxmlformats.org/officeDocument/2006/relationships/image" Target="media/image5.jpg"/><Relationship Id="rId4" Type="http://schemas.openxmlformats.org/officeDocument/2006/relationships/image" Target="media/image6.jpg"/><Relationship Id="rId5" Type="http://schemas.openxmlformats.org/officeDocument/2006/relationships/image" Target="media/image4.jpg"/><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2MEF5zSpC9cWwVLFQvtI5THlGg==">CgMxLjA4AHIhMUVIbmtIN01yYWZVcFdzVVpIMzFuZG8zeE1ZeVF0RkxK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9" ma:contentTypeDescription="Create a new document." ma:contentTypeScope="" ma:versionID="6aea08c4e1f4e77a5ff81a0f29a114be">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92789a14f3665ea9420b9c7acfd71fb0"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C035717-F28D-4215-8B5E-8CCF0558EADB}"/>
</file>

<file path=customXML/itemProps3.xml><?xml version="1.0" encoding="utf-8"?>
<ds:datastoreItem xmlns:ds="http://schemas.openxmlformats.org/officeDocument/2006/customXml" ds:itemID="{C339661C-456D-4C0D-90B7-53E0C65592E4}"/>
</file>

<file path=customXML/itemProps4.xml><?xml version="1.0" encoding="utf-8"?>
<ds:datastoreItem xmlns:ds="http://schemas.openxmlformats.org/officeDocument/2006/customXml" ds:itemID="{ACB14196-20D3-4F69-ABBD-304D7BAA62A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Lampe</dc:creator>
  <dcterms:created xsi:type="dcterms:W3CDTF">2024-05-23T21:36:00Z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4" name="docLang">
    <vt:lpwstr>en</vt:lpwstr>
  </property>
  <property fmtid="{D5CDD505-2E9C-101B-9397-08002B2CF9AE}" pid="5" name="MediaServiceImageTags">
    <vt:lpwstr/>
  </property>
</Properties>
</file>