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D8" w:rsidRPr="00992AD8" w:rsidRDefault="00992AD8" w:rsidP="00992AD8">
      <w:pPr>
        <w:spacing w:after="0" w:line="240" w:lineRule="auto"/>
        <w:jc w:val="center"/>
        <w:rPr>
          <w:rFonts w:ascii="Palatino Linotype" w:eastAsia="Times New Roman" w:hAnsi="Palatino Linotype" w:cs="Times New Roman"/>
          <w:b/>
          <w:bCs/>
          <w:u w:val="single"/>
        </w:rPr>
      </w:pPr>
      <w:r w:rsidRPr="00992AD8">
        <w:rPr>
          <w:rFonts w:ascii="Palatino Linotype" w:eastAsia="Times New Roman" w:hAnsi="Palatino Linotype" w:cs="Times New Roman"/>
          <w:b/>
          <w:bCs/>
          <w:u w:val="single"/>
        </w:rPr>
        <w:t>ACTE Resolutions Submission Process</w:t>
      </w:r>
    </w:p>
    <w:p w:rsidR="00992AD8" w:rsidRPr="00992AD8" w:rsidRDefault="00992AD8" w:rsidP="00992AD8">
      <w:pPr>
        <w:spacing w:after="0" w:line="240" w:lineRule="auto"/>
        <w:jc w:val="center"/>
        <w:rPr>
          <w:rFonts w:ascii="Palatino Linotype" w:eastAsia="Times New Roman" w:hAnsi="Palatino Linotype" w:cs="Times New Roman"/>
        </w:rPr>
      </w:pPr>
      <w:r w:rsidRPr="00992AD8">
        <w:rPr>
          <w:rFonts w:ascii="Palatino Linotype" w:eastAsia="Times New Roman" w:hAnsi="Palatino Linotype" w:cs="Times New Roman"/>
        </w:rPr>
        <w:t>Effective December 2019</w:t>
      </w:r>
      <w:r w:rsidRPr="00992AD8">
        <w:rPr>
          <w:rFonts w:ascii="Palatino Linotype" w:eastAsia="Times New Roman" w:hAnsi="Palatino Linotype" w:cs="Times New Roman"/>
        </w:rPr>
        <w:br/>
        <w:t>(from Board Policy Manual)</w:t>
      </w:r>
    </w:p>
    <w:p w:rsidR="00992AD8" w:rsidRPr="00992AD8" w:rsidRDefault="00992AD8" w:rsidP="00992AD8">
      <w:pPr>
        <w:spacing w:after="0" w:line="240" w:lineRule="auto"/>
        <w:rPr>
          <w:rFonts w:ascii="Palatino Linotype" w:eastAsia="Times New Roman" w:hAnsi="Palatino Linotype" w:cs="Times New Roman"/>
        </w:rPr>
      </w:pPr>
    </w:p>
    <w:p w:rsidR="00992AD8" w:rsidRPr="00992AD8" w:rsidRDefault="00992AD8" w:rsidP="00992AD8">
      <w:pPr>
        <w:pStyle w:val="ListParagraph"/>
        <w:numPr>
          <w:ilvl w:val="0"/>
          <w:numId w:val="4"/>
        </w:numPr>
        <w:rPr>
          <w:rFonts w:ascii="Palatino Linotype" w:hAnsi="Palatino Linotype"/>
          <w:sz w:val="22"/>
          <w:szCs w:val="22"/>
        </w:rPr>
      </w:pPr>
      <w:r w:rsidRPr="00992AD8">
        <w:rPr>
          <w:rFonts w:ascii="Palatino Linotype" w:hAnsi="Palatino Linotype"/>
          <w:sz w:val="22"/>
          <w:szCs w:val="22"/>
        </w:rPr>
        <w:t>I</w:t>
      </w:r>
      <w:r w:rsidRPr="00992AD8">
        <w:rPr>
          <w:rFonts w:ascii="Palatino Linotype" w:hAnsi="Palatino Linotype"/>
          <w:sz w:val="22"/>
          <w:szCs w:val="22"/>
        </w:rPr>
        <w:t xml:space="preserve">ssues to be acted upon through the resolution process can begin with any standing committee, task force, state association, national affiliate organization, educational institution member, region or division. </w:t>
      </w:r>
    </w:p>
    <w:p w:rsidR="00992AD8" w:rsidRPr="00992AD8" w:rsidRDefault="00992AD8" w:rsidP="00992AD8">
      <w:pPr>
        <w:tabs>
          <w:tab w:val="num" w:pos="720"/>
        </w:tabs>
        <w:spacing w:after="0" w:line="240" w:lineRule="auto"/>
        <w:ind w:left="720" w:hanging="720"/>
        <w:rPr>
          <w:rFonts w:ascii="Palatino Linotype" w:hAnsi="Palatino Linotype"/>
        </w:rPr>
      </w:pPr>
    </w:p>
    <w:p w:rsidR="00992AD8" w:rsidRPr="00992AD8" w:rsidRDefault="00992AD8" w:rsidP="00992AD8">
      <w:pPr>
        <w:pStyle w:val="ListParagraph"/>
        <w:numPr>
          <w:ilvl w:val="0"/>
          <w:numId w:val="4"/>
        </w:numPr>
        <w:tabs>
          <w:tab w:val="num" w:pos="720"/>
        </w:tabs>
        <w:ind w:hanging="720"/>
        <w:rPr>
          <w:rFonts w:ascii="Palatino Linotype" w:hAnsi="Palatino Linotype"/>
          <w:sz w:val="22"/>
          <w:szCs w:val="22"/>
        </w:rPr>
      </w:pPr>
      <w:r w:rsidRPr="00992AD8">
        <w:rPr>
          <w:rFonts w:ascii="Palatino Linotype" w:hAnsi="Palatino Linotype"/>
          <w:sz w:val="22"/>
          <w:szCs w:val="22"/>
        </w:rPr>
        <w:t>R</w:t>
      </w:r>
      <w:r w:rsidRPr="00992AD8">
        <w:rPr>
          <w:rFonts w:ascii="Palatino Linotype" w:hAnsi="Palatino Linotype"/>
          <w:sz w:val="22"/>
          <w:szCs w:val="22"/>
        </w:rPr>
        <w:t xml:space="preserve">equests for an issue to be considered via the resolution process should include the following: </w:t>
      </w:r>
      <w:bookmarkStart w:id="0" w:name="_GoBack"/>
      <w:bookmarkEnd w:id="0"/>
    </w:p>
    <w:p w:rsidR="00992AD8" w:rsidRPr="00992AD8" w:rsidRDefault="00992AD8" w:rsidP="00992AD8">
      <w:pPr>
        <w:numPr>
          <w:ilvl w:val="1"/>
          <w:numId w:val="4"/>
        </w:numPr>
        <w:spacing w:after="0" w:line="240" w:lineRule="auto"/>
        <w:rPr>
          <w:rFonts w:ascii="Palatino Linotype" w:hAnsi="Palatino Linotype"/>
        </w:rPr>
      </w:pPr>
      <w:r w:rsidRPr="00992AD8">
        <w:rPr>
          <w:rFonts w:ascii="Palatino Linotype" w:hAnsi="Palatino Linotype"/>
        </w:rPr>
        <w:t>The formal resolution</w:t>
      </w:r>
    </w:p>
    <w:p w:rsidR="00992AD8" w:rsidRPr="00992AD8" w:rsidRDefault="00992AD8" w:rsidP="00992AD8">
      <w:pPr>
        <w:numPr>
          <w:ilvl w:val="1"/>
          <w:numId w:val="4"/>
        </w:numPr>
        <w:spacing w:after="0" w:line="240" w:lineRule="auto"/>
        <w:rPr>
          <w:rFonts w:ascii="Palatino Linotype" w:hAnsi="Palatino Linotype"/>
        </w:rPr>
      </w:pPr>
      <w:r w:rsidRPr="00992AD8">
        <w:rPr>
          <w:rFonts w:ascii="Palatino Linotype" w:hAnsi="Palatino Linotype"/>
        </w:rPr>
        <w:t>Information on how the issue addressed impacts CTE or ACTE</w:t>
      </w:r>
    </w:p>
    <w:p w:rsidR="00992AD8" w:rsidRPr="00992AD8" w:rsidRDefault="00992AD8" w:rsidP="00992AD8">
      <w:pPr>
        <w:numPr>
          <w:ilvl w:val="1"/>
          <w:numId w:val="4"/>
        </w:numPr>
        <w:spacing w:after="0" w:line="240" w:lineRule="auto"/>
        <w:rPr>
          <w:rFonts w:ascii="Palatino Linotype" w:hAnsi="Palatino Linotype"/>
        </w:rPr>
      </w:pPr>
      <w:r w:rsidRPr="00992AD8">
        <w:rPr>
          <w:rFonts w:ascii="Palatino Linotype" w:hAnsi="Palatino Linotype"/>
        </w:rPr>
        <w:t>Pros and cons of the position to be taken as well as the consequences to CTE or ACTE</w:t>
      </w:r>
    </w:p>
    <w:p w:rsidR="00992AD8" w:rsidRPr="00992AD8" w:rsidRDefault="00992AD8" w:rsidP="00992AD8">
      <w:pPr>
        <w:numPr>
          <w:ilvl w:val="1"/>
          <w:numId w:val="4"/>
        </w:numPr>
        <w:spacing w:after="0" w:line="240" w:lineRule="auto"/>
        <w:rPr>
          <w:rFonts w:ascii="Palatino Linotype" w:hAnsi="Palatino Linotype"/>
        </w:rPr>
      </w:pPr>
      <w:r w:rsidRPr="00992AD8">
        <w:rPr>
          <w:rFonts w:ascii="Palatino Linotype" w:hAnsi="Palatino Linotype"/>
        </w:rPr>
        <w:t xml:space="preserve">Information on how the position aligns with the core purpose and strategic priorities of ACTE </w:t>
      </w:r>
    </w:p>
    <w:p w:rsidR="00992AD8" w:rsidRPr="00992AD8" w:rsidRDefault="00992AD8" w:rsidP="00992AD8">
      <w:pPr>
        <w:tabs>
          <w:tab w:val="num" w:pos="720"/>
        </w:tabs>
        <w:spacing w:after="0" w:line="240" w:lineRule="auto"/>
        <w:ind w:left="720" w:hanging="720"/>
        <w:rPr>
          <w:rFonts w:ascii="Palatino Linotype" w:hAnsi="Palatino Linotype"/>
        </w:rPr>
      </w:pPr>
    </w:p>
    <w:p w:rsidR="00992AD8" w:rsidRPr="00992AD8" w:rsidRDefault="00992AD8" w:rsidP="00992AD8">
      <w:pPr>
        <w:pStyle w:val="ListParagraph"/>
        <w:numPr>
          <w:ilvl w:val="0"/>
          <w:numId w:val="4"/>
        </w:numPr>
        <w:rPr>
          <w:rFonts w:ascii="Palatino Linotype" w:hAnsi="Palatino Linotype"/>
          <w:sz w:val="22"/>
          <w:szCs w:val="22"/>
        </w:rPr>
      </w:pPr>
      <w:r w:rsidRPr="00992AD8">
        <w:rPr>
          <w:rFonts w:ascii="Palatino Linotype" w:hAnsi="Palatino Linotype"/>
          <w:sz w:val="22"/>
          <w:szCs w:val="22"/>
        </w:rPr>
        <w:t xml:space="preserve">Resolutions must be submitted to the Board of Directors by June 1 of each year. </w:t>
      </w:r>
    </w:p>
    <w:p w:rsidR="00992AD8" w:rsidRPr="00992AD8" w:rsidRDefault="00992AD8" w:rsidP="00992AD8">
      <w:pPr>
        <w:spacing w:after="0" w:line="240" w:lineRule="auto"/>
        <w:rPr>
          <w:rFonts w:ascii="Palatino Linotype" w:hAnsi="Palatino Linotype"/>
        </w:rPr>
      </w:pPr>
    </w:p>
    <w:p w:rsidR="00992AD8" w:rsidRPr="00992AD8" w:rsidRDefault="00992AD8" w:rsidP="00992AD8">
      <w:pPr>
        <w:pStyle w:val="ListParagraph"/>
        <w:numPr>
          <w:ilvl w:val="0"/>
          <w:numId w:val="4"/>
        </w:numPr>
        <w:rPr>
          <w:rFonts w:ascii="Palatino Linotype" w:hAnsi="Palatino Linotype"/>
          <w:sz w:val="22"/>
          <w:szCs w:val="22"/>
        </w:rPr>
      </w:pPr>
      <w:r w:rsidRPr="00992AD8">
        <w:rPr>
          <w:rFonts w:ascii="Palatino Linotype" w:hAnsi="Palatino Linotype"/>
          <w:sz w:val="22"/>
          <w:szCs w:val="22"/>
        </w:rPr>
        <w:t>The Board of Directors will review all proposed resolutions and has the authority to approve, edit, or decline a resolution.  The Board of Directors may decline to approve a resolution if it deems such action in the best interest of ACTE.  In accordance with the ACTE Bylaws, the Board then refers Board approved resolutions to the Assembly of Delegates with recommendations, which include comments or concerns.</w:t>
      </w:r>
    </w:p>
    <w:p w:rsidR="00992AD8" w:rsidRPr="00992AD8" w:rsidRDefault="00992AD8" w:rsidP="00992AD8">
      <w:pPr>
        <w:tabs>
          <w:tab w:val="num" w:pos="720"/>
        </w:tabs>
        <w:spacing w:after="0" w:line="240" w:lineRule="auto"/>
        <w:ind w:left="720" w:hanging="720"/>
        <w:rPr>
          <w:rFonts w:ascii="Palatino Linotype" w:hAnsi="Palatino Linotype"/>
          <w:b/>
          <w:bCs/>
        </w:rPr>
      </w:pPr>
    </w:p>
    <w:p w:rsidR="00992AD8" w:rsidRPr="00992AD8" w:rsidRDefault="00992AD8" w:rsidP="00992AD8">
      <w:pPr>
        <w:pStyle w:val="ListParagraph"/>
        <w:numPr>
          <w:ilvl w:val="0"/>
          <w:numId w:val="4"/>
        </w:numPr>
        <w:rPr>
          <w:rFonts w:ascii="Palatino Linotype" w:hAnsi="Palatino Linotype"/>
          <w:sz w:val="22"/>
          <w:szCs w:val="22"/>
        </w:rPr>
      </w:pPr>
      <w:r w:rsidRPr="00992AD8">
        <w:rPr>
          <w:rFonts w:ascii="Palatino Linotype" w:hAnsi="Palatino Linotype"/>
          <w:sz w:val="22"/>
          <w:szCs w:val="22"/>
        </w:rPr>
        <w:t>Approved resolutions with background materials are posted on ACTE website and are distributed electronically to divisions, regions and state associations no later than 30 days prior to the Annual Meeting for discussion</w:t>
      </w:r>
    </w:p>
    <w:p w:rsidR="00992AD8" w:rsidRPr="00992AD8" w:rsidRDefault="00992AD8" w:rsidP="00992AD8">
      <w:pPr>
        <w:tabs>
          <w:tab w:val="num" w:pos="720"/>
        </w:tabs>
        <w:spacing w:after="0" w:line="240" w:lineRule="auto"/>
        <w:rPr>
          <w:rFonts w:ascii="Palatino Linotype" w:hAnsi="Palatino Linotype"/>
        </w:rPr>
      </w:pPr>
    </w:p>
    <w:p w:rsidR="00992AD8" w:rsidRPr="00992AD8" w:rsidRDefault="00992AD8" w:rsidP="00992AD8">
      <w:pPr>
        <w:pStyle w:val="ListParagraph"/>
        <w:numPr>
          <w:ilvl w:val="0"/>
          <w:numId w:val="4"/>
        </w:numPr>
        <w:tabs>
          <w:tab w:val="num" w:pos="720"/>
        </w:tabs>
        <w:rPr>
          <w:rFonts w:ascii="Palatino Linotype" w:hAnsi="Palatino Linotype"/>
          <w:sz w:val="22"/>
          <w:szCs w:val="22"/>
        </w:rPr>
      </w:pPr>
      <w:r w:rsidRPr="00992AD8">
        <w:rPr>
          <w:rFonts w:ascii="Palatino Linotype" w:hAnsi="Palatino Linotype"/>
          <w:sz w:val="22"/>
          <w:szCs w:val="22"/>
        </w:rPr>
        <w:t xml:space="preserve">Final versions of resolutions will be submitted to the Assembly of Delegates for final approval. </w:t>
      </w:r>
    </w:p>
    <w:p w:rsidR="00992AD8" w:rsidRPr="00992AD8" w:rsidRDefault="00992AD8" w:rsidP="00992AD8">
      <w:pPr>
        <w:tabs>
          <w:tab w:val="num" w:pos="720"/>
        </w:tabs>
        <w:spacing w:after="0" w:line="240" w:lineRule="auto"/>
        <w:ind w:left="720" w:hanging="720"/>
        <w:rPr>
          <w:rFonts w:ascii="Palatino Linotype" w:hAnsi="Palatino Linotype"/>
          <w:spacing w:val="-3"/>
        </w:rPr>
      </w:pPr>
    </w:p>
    <w:p w:rsidR="00992AD8" w:rsidRPr="00992AD8" w:rsidRDefault="00992AD8" w:rsidP="00992AD8">
      <w:pPr>
        <w:pStyle w:val="ListParagraph"/>
        <w:numPr>
          <w:ilvl w:val="0"/>
          <w:numId w:val="4"/>
        </w:numPr>
        <w:rPr>
          <w:rFonts w:ascii="Palatino Linotype" w:hAnsi="Palatino Linotype"/>
          <w:spacing w:val="-3"/>
          <w:sz w:val="22"/>
          <w:szCs w:val="22"/>
        </w:rPr>
      </w:pPr>
      <w:r w:rsidRPr="00992AD8">
        <w:rPr>
          <w:rFonts w:ascii="Palatino Linotype" w:hAnsi="Palatino Linotype"/>
          <w:spacing w:val="-3"/>
          <w:sz w:val="22"/>
          <w:szCs w:val="22"/>
        </w:rPr>
        <w:t xml:space="preserve">Resolutions passed by the Assembly of Delegates shall be edited only for technical corrections. Copies of such resolutions shall be distributed to the board of directors, state association presidents, state association executive directors, members of the Resolutions Committee and ACTE executive director. Furthermore, resolutions passed by the Assembly of Delegates shall be made available to ACTE members.  </w:t>
      </w:r>
    </w:p>
    <w:p w:rsidR="00992AD8" w:rsidRPr="00992AD8" w:rsidRDefault="00992AD8" w:rsidP="00992AD8">
      <w:pPr>
        <w:spacing w:after="0" w:line="240" w:lineRule="auto"/>
        <w:rPr>
          <w:rFonts w:ascii="Palatino Linotype" w:eastAsia="Times New Roman" w:hAnsi="Palatino Linotype" w:cs="Times New Roman"/>
        </w:rPr>
      </w:pPr>
    </w:p>
    <w:sectPr w:rsidR="00992AD8" w:rsidRPr="00992AD8" w:rsidSect="001419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299"/>
    <w:multiLevelType w:val="hybridMultilevel"/>
    <w:tmpl w:val="3C307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3F1F"/>
    <w:multiLevelType w:val="hybridMultilevel"/>
    <w:tmpl w:val="2BAE27FA"/>
    <w:lvl w:ilvl="0" w:tplc="0409000F">
      <w:start w:val="1"/>
      <w:numFmt w:val="decimal"/>
      <w:lvlText w:val="%1."/>
      <w:lvlJc w:val="left"/>
      <w:pPr>
        <w:tabs>
          <w:tab w:val="num" w:pos="720"/>
        </w:tabs>
        <w:ind w:left="720" w:hanging="360"/>
      </w:pPr>
      <w:rPr>
        <w:rFonts w:cs="Times New Roman" w:hint="default"/>
      </w:rPr>
    </w:lvl>
    <w:lvl w:ilvl="1" w:tplc="09B2300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47E625E"/>
    <w:multiLevelType w:val="hybridMultilevel"/>
    <w:tmpl w:val="DAB62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B3AC0"/>
    <w:multiLevelType w:val="hybridMultilevel"/>
    <w:tmpl w:val="43BE309E"/>
    <w:lvl w:ilvl="0" w:tplc="3C46BBFA">
      <w:start w:val="7"/>
      <w:numFmt w:val="decimal"/>
      <w:lvlText w:val="XVI.%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D8"/>
    <w:rsid w:val="00351CD5"/>
    <w:rsid w:val="0099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D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D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7A46AF7D</Template>
  <TotalTime>3</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Lessels</dc:creator>
  <cp:lastModifiedBy>Lauren Lessels</cp:lastModifiedBy>
  <cp:revision>1</cp:revision>
  <dcterms:created xsi:type="dcterms:W3CDTF">2020-02-18T18:24:00Z</dcterms:created>
  <dcterms:modified xsi:type="dcterms:W3CDTF">2020-02-18T18:29:00Z</dcterms:modified>
</cp:coreProperties>
</file>