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____</w:t>
      </w:r>
      <w:r w:rsidR="00A944CA">
        <w:rPr>
          <w:rFonts w:ascii="Palatino Linotype" w:hAnsi="Palatino Linotype"/>
          <w:b/>
          <w:sz w:val="22"/>
          <w:szCs w:val="22"/>
        </w:rPr>
        <w:t>Region V</w:t>
      </w:r>
      <w:r w:rsidRPr="00AB0D0E">
        <w:rPr>
          <w:rFonts w:ascii="Palatino Linotype" w:hAnsi="Palatino Linotype"/>
          <w:b/>
          <w:sz w:val="22"/>
          <w:szCs w:val="22"/>
        </w:rPr>
        <w:t>___ 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944CA">
        <w:rPr>
          <w:rFonts w:ascii="Palatino Linotype" w:hAnsi="Palatino Linotype"/>
          <w:sz w:val="22"/>
          <w:szCs w:val="22"/>
        </w:rPr>
        <w:t xml:space="preserve"> Chuck Gallagher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944CA">
        <w:rPr>
          <w:rFonts w:ascii="Palatino Linotype" w:hAnsi="Palatino Linotype"/>
          <w:sz w:val="22"/>
          <w:szCs w:val="22"/>
        </w:rPr>
        <w:t>10/6/14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Default="008414CE" w:rsidP="00A944CA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A944CA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 </w:t>
            </w:r>
            <w:r w:rsidR="00A944C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I would like to get the Region V membership to average 30% of the potential membership using the Nation Universe model. We currently have 5378 or 14% of the potential membership.  30% of the potential membership would bring the Region V membership to 9339. I want to have 3 region V fellows this year and 2 national fellows. I would like to have 5 people inducted into the Region V Hall of Fame. I want </w:t>
            </w:r>
            <w:proofErr w:type="spellStart"/>
            <w:r w:rsidR="00A944CA">
              <w:rPr>
                <w:rFonts w:ascii="Palatino Linotype" w:hAnsi="Palatino Linotype"/>
                <w:b/>
                <w:i/>
                <w:sz w:val="22"/>
                <w:szCs w:val="22"/>
              </w:rPr>
              <w:t>ot</w:t>
            </w:r>
            <w:proofErr w:type="spellEnd"/>
            <w:r w:rsidR="00A944C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increase the attendance at the region V conference by 10%. </w:t>
            </w: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561F3F" w:rsidRDefault="00356A6B" w:rsidP="00561F3F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  <w:r w:rsidR="00267E70">
        <w:rPr>
          <w:b/>
        </w:rPr>
        <w:t xml:space="preserve"> </w:t>
      </w:r>
      <w:r w:rsidR="00267E70">
        <w:t xml:space="preserve">We are working on the </w:t>
      </w:r>
      <w:r w:rsidR="00267E70">
        <w:t xml:space="preserve">he 2015 region V Conference will be in Kansas City </w:t>
      </w:r>
      <w:r w:rsidR="00C250B1">
        <w:t xml:space="preserve">KS. </w:t>
      </w:r>
      <w:r w:rsidR="00267E70">
        <w:t>We have been holding monthly Policy committee conference calls. We are increasing the region V fellows from 2 to 3</w:t>
      </w:r>
      <w:r w:rsidR="00C250B1">
        <w:t xml:space="preserve"> this year</w:t>
      </w:r>
      <w:bookmarkStart w:id="2" w:name="_GoBack"/>
      <w:bookmarkEnd w:id="2"/>
      <w:r w:rsidR="00267E70">
        <w:t xml:space="preserve">.  We are working on updating the region V website and have made 4 updates. We are trying to have 1000 region V members attend the Vision 2014 in Nashville. </w:t>
      </w:r>
    </w:p>
    <w:p w:rsidR="00561F3F" w:rsidRDefault="00561F3F" w:rsidP="00561F3F">
      <w:pPr>
        <w:pStyle w:val="ListParagraph"/>
        <w:ind w:left="360"/>
        <w:rPr>
          <w:b/>
        </w:rPr>
      </w:pPr>
    </w:p>
    <w:p w:rsidR="00561F3F" w:rsidRDefault="00561F3F" w:rsidP="00561F3F">
      <w:pPr>
        <w:pStyle w:val="ListParagraph"/>
        <w:ind w:left="360"/>
        <w:rPr>
          <w:b/>
        </w:rPr>
      </w:pPr>
    </w:p>
    <w:p w:rsidR="00561F3F" w:rsidRPr="00561F3F" w:rsidRDefault="00C6438E" w:rsidP="00561F3F">
      <w:pPr>
        <w:pStyle w:val="ListParagraph"/>
        <w:numPr>
          <w:ilvl w:val="0"/>
          <w:numId w:val="2"/>
        </w:numPr>
        <w:ind w:left="360"/>
        <w:rPr>
          <w:b/>
        </w:rPr>
      </w:pPr>
      <w:r w:rsidRPr="00561F3F">
        <w:rPr>
          <w:b/>
        </w:rPr>
        <w:t>D</w:t>
      </w:r>
      <w:r w:rsidR="00F11B65" w:rsidRPr="00561F3F">
        <w:rPr>
          <w:b/>
        </w:rPr>
        <w:t>ivision/Region Accomplishments in the area of Membership:</w:t>
      </w:r>
      <w:r w:rsidR="00561F3F" w:rsidRPr="00561F3F">
        <w:t xml:space="preserve"> </w:t>
      </w:r>
    </w:p>
    <w:p w:rsidR="00561F3F" w:rsidRDefault="00561F3F" w:rsidP="00561F3F">
      <w:pPr>
        <w:ind w:left="720"/>
        <w:rPr>
          <w:rFonts w:ascii="Palatino Linotype" w:hAnsi="Palatino Linotype"/>
          <w:sz w:val="22"/>
          <w:szCs w:val="22"/>
        </w:rPr>
      </w:pPr>
      <w:r w:rsidRPr="008003BC">
        <w:rPr>
          <w:rFonts w:ascii="Palatino Linotype" w:hAnsi="Palatino Linotype"/>
          <w:sz w:val="22"/>
          <w:szCs w:val="22"/>
        </w:rPr>
        <w:t>We</w:t>
      </w:r>
      <w:r w:rsidR="00267E70">
        <w:rPr>
          <w:rFonts w:ascii="Palatino Linotype" w:hAnsi="Palatino Linotype"/>
          <w:sz w:val="22"/>
          <w:szCs w:val="22"/>
        </w:rPr>
        <w:t xml:space="preserve"> are up in membership this year by more than 100 members</w:t>
      </w:r>
      <w:r w:rsidRPr="008003BC">
        <w:rPr>
          <w:rFonts w:ascii="Palatino Linotype" w:hAnsi="Palatino Linotype"/>
          <w:sz w:val="22"/>
          <w:szCs w:val="22"/>
        </w:rPr>
        <w:t>. Our membership committee is working on a platform to promote membership</w:t>
      </w:r>
      <w:r w:rsidR="00267E70">
        <w:rPr>
          <w:rFonts w:ascii="Palatino Linotype" w:hAnsi="Palatino Linotype"/>
          <w:sz w:val="22"/>
          <w:szCs w:val="22"/>
        </w:rPr>
        <w:t xml:space="preserve"> using the National Universe model. </w:t>
      </w:r>
    </w:p>
    <w:p w:rsidR="00CE2571" w:rsidRPr="00C6438E" w:rsidRDefault="00CE2571" w:rsidP="00561F3F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561F3F" w:rsidRDefault="00561F3F" w:rsidP="00561F3F">
      <w:pPr>
        <w:pStyle w:val="ListParagraph"/>
      </w:pPr>
      <w:r w:rsidRPr="008003BC">
        <w:t>Regional news letters</w:t>
      </w:r>
    </w:p>
    <w:p w:rsidR="00561F3F" w:rsidRDefault="00561F3F" w:rsidP="00561F3F">
      <w:pPr>
        <w:pStyle w:val="ListParagraph"/>
      </w:pPr>
      <w:r>
        <w:t>Hold monthly and sometimes 2 or 3 conference calls with policy members</w:t>
      </w:r>
    </w:p>
    <w:p w:rsidR="00561F3F" w:rsidRDefault="00561F3F" w:rsidP="00561F3F">
      <w:pPr>
        <w:pStyle w:val="ListParagraph"/>
      </w:pPr>
      <w:r>
        <w:t>Email or call committee chairs monthly</w:t>
      </w:r>
    </w:p>
    <w:p w:rsidR="00561F3F" w:rsidRDefault="00561F3F" w:rsidP="00561F3F">
      <w:pPr>
        <w:pStyle w:val="ListParagraph"/>
      </w:pPr>
      <w:r>
        <w:t>Always promoting membership</w:t>
      </w:r>
    </w:p>
    <w:p w:rsidR="00561F3F" w:rsidRDefault="00561F3F" w:rsidP="00561F3F">
      <w:pPr>
        <w:pStyle w:val="ListParagraph"/>
      </w:pPr>
      <w:r>
        <w:t>Promoting all conferences (you can see the results in region V attendance at Vision and NPS conferences).</w:t>
      </w:r>
    </w:p>
    <w:p w:rsidR="00561F3F" w:rsidRDefault="00561F3F" w:rsidP="00561F3F">
      <w:pPr>
        <w:pStyle w:val="ListParagraph"/>
      </w:pPr>
      <w:r>
        <w:t>Updated our Policy and Procedures Manual</w:t>
      </w:r>
    </w:p>
    <w:p w:rsidR="00561F3F" w:rsidRDefault="00561F3F" w:rsidP="00561F3F">
      <w:pPr>
        <w:pStyle w:val="ListParagraph"/>
      </w:pPr>
      <w:r>
        <w:t>Updating the Region V website</w:t>
      </w:r>
    </w:p>
    <w:p w:rsidR="00561F3F" w:rsidRPr="00561F3F" w:rsidRDefault="00561F3F" w:rsidP="00561F3F">
      <w:pPr>
        <w:rPr>
          <w:b/>
        </w:rPr>
      </w:pPr>
    </w:p>
    <w:p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lastRenderedPageBreak/>
        <w:t>Region/Division Vice President potential candidates contacted:</w:t>
      </w:r>
      <w:r w:rsidR="00C250B1">
        <w:rPr>
          <w:b/>
        </w:rPr>
        <w:t xml:space="preserve"> We have Dodie Bemis as the incoming VP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4E1F8E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Industry support</w:t>
            </w:r>
          </w:p>
        </w:tc>
        <w:tc>
          <w:tcPr>
            <w:tcW w:w="3621" w:type="dxa"/>
          </w:tcPr>
          <w:p w:rsidR="00CE2571" w:rsidRPr="00AB70DF" w:rsidRDefault="004E1F8E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Get industry behind us on the hill</w:t>
            </w:r>
          </w:p>
        </w:tc>
        <w:tc>
          <w:tcPr>
            <w:tcW w:w="2966" w:type="dxa"/>
          </w:tcPr>
          <w:p w:rsidR="00CE2571" w:rsidRPr="00AB70DF" w:rsidRDefault="004E1F8E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Look at the Arizona circle of distinction 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267E70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Getting </w:t>
            </w:r>
            <w:r w:rsidR="004E1F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states, divisions and regions all working together</w:t>
            </w:r>
          </w:p>
        </w:tc>
        <w:tc>
          <w:tcPr>
            <w:tcW w:w="3626" w:type="dxa"/>
          </w:tcPr>
          <w:p w:rsidR="00CE2571" w:rsidRPr="00AB70DF" w:rsidRDefault="004E1F8E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We are not as strong as we could be.</w:t>
            </w:r>
          </w:p>
        </w:tc>
        <w:tc>
          <w:tcPr>
            <w:tcW w:w="2965" w:type="dxa"/>
          </w:tcPr>
          <w:p w:rsidR="00CE2571" w:rsidRPr="00AB70DF" w:rsidRDefault="004E1F8E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Help support divisions coming to regional and state conferences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  <w:r w:rsidR="004E1F8E">
        <w:rPr>
          <w:rFonts w:ascii="Palatino Linotype" w:hAnsi="Palatino Linotype"/>
          <w:i/>
          <w:sz w:val="22"/>
          <w:szCs w:val="22"/>
        </w:rPr>
        <w:t xml:space="preserve"> To</w:t>
      </w:r>
      <w:r w:rsidR="00C250B1">
        <w:rPr>
          <w:rFonts w:ascii="Palatino Linotype" w:hAnsi="Palatino Linotype"/>
          <w:i/>
          <w:sz w:val="22"/>
          <w:szCs w:val="22"/>
        </w:rPr>
        <w:t xml:space="preserve"> use some of the Opportunity funds to support divisions VP’s or their Policy committee members attend the Region V conference as a pilot for the rest of the Regions.</w:t>
      </w:r>
    </w:p>
    <w:p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C2654E"/>
    <w:multiLevelType w:val="hybridMultilevel"/>
    <w:tmpl w:val="304C5EC4"/>
    <w:lvl w:ilvl="0" w:tplc="37FE89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67E70"/>
    <w:rsid w:val="00274EB3"/>
    <w:rsid w:val="00275486"/>
    <w:rsid w:val="002875F9"/>
    <w:rsid w:val="002D0139"/>
    <w:rsid w:val="00356A6B"/>
    <w:rsid w:val="004815CA"/>
    <w:rsid w:val="004E1F8E"/>
    <w:rsid w:val="00561F3F"/>
    <w:rsid w:val="005947A9"/>
    <w:rsid w:val="005E44E1"/>
    <w:rsid w:val="00651A79"/>
    <w:rsid w:val="006A0A81"/>
    <w:rsid w:val="007006FE"/>
    <w:rsid w:val="00762736"/>
    <w:rsid w:val="007717B5"/>
    <w:rsid w:val="007D6841"/>
    <w:rsid w:val="008414CE"/>
    <w:rsid w:val="0087365E"/>
    <w:rsid w:val="00A20092"/>
    <w:rsid w:val="00A3071E"/>
    <w:rsid w:val="00A944CA"/>
    <w:rsid w:val="00AB0D0E"/>
    <w:rsid w:val="00AB70DF"/>
    <w:rsid w:val="00B76599"/>
    <w:rsid w:val="00BA0AEA"/>
    <w:rsid w:val="00BC525C"/>
    <w:rsid w:val="00BC6C09"/>
    <w:rsid w:val="00BF496D"/>
    <w:rsid w:val="00BF5994"/>
    <w:rsid w:val="00C250B1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Gallagher, Charles</cp:lastModifiedBy>
  <cp:revision>2</cp:revision>
  <dcterms:created xsi:type="dcterms:W3CDTF">2014-10-06T20:13:00Z</dcterms:created>
  <dcterms:modified xsi:type="dcterms:W3CDTF">2014-10-06T20:13:00Z</dcterms:modified>
</cp:coreProperties>
</file>