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DC6D66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AGRICULTURAL EDUCATION 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827877">
        <w:rPr>
          <w:rFonts w:ascii="Palatino Linotype" w:hAnsi="Palatino Linotype"/>
          <w:sz w:val="22"/>
          <w:szCs w:val="22"/>
        </w:rPr>
        <w:t xml:space="preserve">  Jim Flowers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827877">
        <w:rPr>
          <w:rFonts w:ascii="Palatino Linotype" w:hAnsi="Palatino Linotype"/>
          <w:sz w:val="22"/>
          <w:szCs w:val="22"/>
        </w:rPr>
        <w:t xml:space="preserve"> </w:t>
      </w:r>
      <w:r w:rsidR="00B17D4F">
        <w:rPr>
          <w:rFonts w:ascii="Palatino Linotype" w:hAnsi="Palatino Linotype"/>
          <w:sz w:val="22"/>
          <w:szCs w:val="22"/>
        </w:rPr>
        <w:t>January 20,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1E63E3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1E63E3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 (1) Increase membership in the Agricultural Education Division by 5%. (2) Develop 3-year strategic plan for secondary agricultural education program improvement.</w:t>
            </w: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6438E" w:rsidRPr="001E63E3" w:rsidRDefault="00B17D4F" w:rsidP="001E63E3">
      <w:pPr>
        <w:ind w:left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Participated in monthly conference calls of the National Council for Agricultural Education (Ag Ed Division Policy Committee).</w:t>
      </w:r>
      <w:proofErr w:type="gramEnd"/>
      <w:r w:rsidR="001E63E3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 xml:space="preserve">Progress is being </w:t>
      </w:r>
      <w:proofErr w:type="gramStart"/>
      <w:r>
        <w:rPr>
          <w:rFonts w:ascii="Palatino Linotype" w:hAnsi="Palatino Linotype"/>
          <w:sz w:val="22"/>
          <w:szCs w:val="22"/>
        </w:rPr>
        <w:t xml:space="preserve">made </w:t>
      </w:r>
      <w:r w:rsidR="001E63E3">
        <w:rPr>
          <w:rFonts w:ascii="Palatino Linotype" w:hAnsi="Palatino Linotype"/>
          <w:sz w:val="22"/>
          <w:szCs w:val="22"/>
        </w:rPr>
        <w:t xml:space="preserve"> on</w:t>
      </w:r>
      <w:proofErr w:type="gramEnd"/>
      <w:r w:rsidR="001E63E3">
        <w:rPr>
          <w:rFonts w:ascii="Palatino Linotype" w:hAnsi="Palatino Linotype"/>
          <w:sz w:val="22"/>
          <w:szCs w:val="22"/>
        </w:rPr>
        <w:t xml:space="preserve"> updating our National Program Standards for Agricultural Education, updating our initiatives for experiential learning, and teacher recruitment and retention efforts in Agricultural Education.</w:t>
      </w: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Default="00B17D4F" w:rsidP="00C275E1">
      <w:pPr>
        <w:ind w:left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Sent e-mail messages to Ag Ed Division members whose membership has expired.</w:t>
      </w:r>
      <w:proofErr w:type="gramEnd"/>
      <w:r>
        <w:rPr>
          <w:rFonts w:ascii="Palatino Linotype" w:hAnsi="Palatino Linotype"/>
          <w:sz w:val="22"/>
          <w:szCs w:val="22"/>
        </w:rPr>
        <w:t xml:space="preserve"> Spoke to Ag Ed Teacher Educators at the Southern Region AAAE Conference, encouraging them to join ACTE and support ACTE activities.</w:t>
      </w:r>
    </w:p>
    <w:p w:rsidR="00827877" w:rsidRPr="00017965" w:rsidRDefault="00827877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827877" w:rsidRDefault="00827877" w:rsidP="00827877">
      <w:pPr>
        <w:pStyle w:val="ListParagraph"/>
      </w:pPr>
      <w:proofErr w:type="gramStart"/>
      <w:r w:rsidRPr="00827877">
        <w:t xml:space="preserve">Distributed information on ACTE membership at </w:t>
      </w:r>
      <w:r w:rsidR="00B17D4F">
        <w:t>regional AAAE Conference</w:t>
      </w:r>
      <w:r w:rsidRPr="00827877">
        <w:t>.</w:t>
      </w:r>
      <w:proofErr w:type="gramEnd"/>
      <w:r w:rsidRPr="00827877">
        <w:t xml:space="preserve">  </w:t>
      </w:r>
      <w:proofErr w:type="gramStart"/>
      <w:r>
        <w:t>Used ACTE promotional materials.</w:t>
      </w:r>
      <w:proofErr w:type="gramEnd"/>
      <w:r>
        <w:t xml:space="preserve">  Discussed possible </w:t>
      </w:r>
      <w:proofErr w:type="gramStart"/>
      <w:r>
        <w:t>unification  with</w:t>
      </w:r>
      <w:proofErr w:type="gramEnd"/>
      <w:r>
        <w:t xml:space="preserve"> </w:t>
      </w:r>
      <w:r w:rsidR="00B17D4F">
        <w:t>ACTE with the Executive Director of NC ACTE.</w:t>
      </w:r>
    </w:p>
    <w:p w:rsidR="00C6438E" w:rsidRPr="00827877" w:rsidRDefault="00827877" w:rsidP="00827877">
      <w:pPr>
        <w:pStyle w:val="ListParagraph"/>
      </w:pPr>
      <w:proofErr w:type="gramStart"/>
      <w:r w:rsidRPr="00827877">
        <w:t>Followed up on lapsed members.</w:t>
      </w:r>
      <w:proofErr w:type="gramEnd"/>
    </w:p>
    <w:p w:rsidR="007717B5" w:rsidRPr="00827877" w:rsidRDefault="00CE2571" w:rsidP="00827877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827877">
        <w:rPr>
          <w:b/>
        </w:rPr>
        <w:t xml:space="preserve">  N/A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827877">
        <w:rPr>
          <w:b/>
        </w:rPr>
        <w:t xml:space="preserve">  None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Teacher Supply is not adequate.</w:t>
            </w:r>
          </w:p>
        </w:tc>
        <w:tc>
          <w:tcPr>
            <w:tcW w:w="3621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Fewer potential members.  Cannot promote CTE to stakeholders if programs are closing due to lack of teachers.</w:t>
            </w:r>
          </w:p>
        </w:tc>
        <w:tc>
          <w:tcPr>
            <w:tcW w:w="2966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Possibly develop a program within our divisions or regions to encourage CTE teachers to recruit their students to become CTE teachers.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Local leadership for </w:t>
            </w:r>
            <w:r w:rsidR="009E0F8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some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CTE programs </w:t>
            </w:r>
            <w:r w:rsidR="009E0F8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has been assigned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to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lastRenderedPageBreak/>
              <w:t>administrators with no CTE experience</w:t>
            </w:r>
          </w:p>
        </w:tc>
        <w:tc>
          <w:tcPr>
            <w:tcW w:w="3621" w:type="dxa"/>
          </w:tcPr>
          <w:p w:rsidR="00CE2571" w:rsidRPr="00AB70DF" w:rsidRDefault="0082787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 xml:space="preserve">In these cases, local CTE directors may not promote ACTE membership or attendance at </w:t>
            </w: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>CareerTech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Vision.</w:t>
            </w:r>
          </w:p>
        </w:tc>
        <w:tc>
          <w:tcPr>
            <w:tcW w:w="2966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 xml:space="preserve">Conduct a study of local CTE directors to determine their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lastRenderedPageBreak/>
              <w:t>perceptions of ACTE – membership and professional development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Long term financial status of the organization</w:t>
            </w:r>
          </w:p>
        </w:tc>
        <w:tc>
          <w:tcPr>
            <w:tcW w:w="3626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Fortunately, we have had a major improvement, but it is important to sustain this financial turnaround that we have experienced this year.</w:t>
            </w:r>
          </w:p>
        </w:tc>
        <w:tc>
          <w:tcPr>
            <w:tcW w:w="296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to monitor the budgets.  Make strategic investments in areas that have the potential to increase our resources.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Membership.  We seem to represent only a small portion of the CTE profession.</w:t>
            </w:r>
          </w:p>
        </w:tc>
        <w:tc>
          <w:tcPr>
            <w:tcW w:w="3626" w:type="dxa"/>
          </w:tcPr>
          <w:p w:rsidR="00CE2571" w:rsidRPr="00AB70DF" w:rsidRDefault="00B17D4F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It was encouraging to see growth in all ACTE divisions, but we still have a long way to go to represent a majority of the profession</w:t>
            </w:r>
            <w:r w:rsidR="009E0F87">
              <w:rPr>
                <w:rFonts w:ascii="Palatino Linotype" w:hAnsi="Palatino Linotype"/>
                <w:i/>
                <w:sz w:val="22"/>
                <w:szCs w:val="22"/>
              </w:rPr>
              <w:t>.</w:t>
            </w:r>
          </w:p>
        </w:tc>
        <w:tc>
          <w:tcPr>
            <w:tcW w:w="2965" w:type="dxa"/>
          </w:tcPr>
          <w:p w:rsidR="00CE2571" w:rsidRPr="00AB70DF" w:rsidRDefault="009E0F87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I believe that we are making progress.  We need to continue to develop tools that will help us bring CTE professionals into the organization.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>
      <w:bookmarkStart w:id="3" w:name="_GoBack"/>
      <w:bookmarkEnd w:id="3"/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1E63E3"/>
    <w:rsid w:val="00225ABE"/>
    <w:rsid w:val="00274EB3"/>
    <w:rsid w:val="00275486"/>
    <w:rsid w:val="002875F9"/>
    <w:rsid w:val="002D0139"/>
    <w:rsid w:val="00356A6B"/>
    <w:rsid w:val="004815CA"/>
    <w:rsid w:val="005947A9"/>
    <w:rsid w:val="005E44E1"/>
    <w:rsid w:val="00651A79"/>
    <w:rsid w:val="006A0A81"/>
    <w:rsid w:val="007006FE"/>
    <w:rsid w:val="00762736"/>
    <w:rsid w:val="007717B5"/>
    <w:rsid w:val="007D6841"/>
    <w:rsid w:val="00827877"/>
    <w:rsid w:val="008414CE"/>
    <w:rsid w:val="0087365E"/>
    <w:rsid w:val="009E0F87"/>
    <w:rsid w:val="00A20092"/>
    <w:rsid w:val="00A3071E"/>
    <w:rsid w:val="00AB0D0E"/>
    <w:rsid w:val="00AB70DF"/>
    <w:rsid w:val="00B17D4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DC6D66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flowersj</cp:lastModifiedBy>
  <cp:revision>2</cp:revision>
  <dcterms:created xsi:type="dcterms:W3CDTF">2015-01-20T16:10:00Z</dcterms:created>
  <dcterms:modified xsi:type="dcterms:W3CDTF">2015-01-20T16:10:00Z</dcterms:modified>
</cp:coreProperties>
</file>