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EB4452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Agricultural Education </w:t>
      </w:r>
      <w:r w:rsidR="00C06250">
        <w:rPr>
          <w:rFonts w:ascii="Palatino Linotype" w:hAnsi="Palatino Linotype"/>
          <w:b/>
          <w:sz w:val="22"/>
          <w:szCs w:val="22"/>
        </w:rPr>
        <w:t xml:space="preserve">DIVISION 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B4452">
        <w:rPr>
          <w:rFonts w:ascii="Palatino Linotype" w:hAnsi="Palatino Linotype"/>
          <w:sz w:val="22"/>
          <w:szCs w:val="22"/>
        </w:rPr>
        <w:t xml:space="preserve"> Nancy Trivette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BD0A69">
        <w:rPr>
          <w:rFonts w:ascii="Palatino Linotype" w:hAnsi="Palatino Linotype"/>
          <w:sz w:val="22"/>
          <w:szCs w:val="22"/>
        </w:rPr>
        <w:t>October 31</w:t>
      </w:r>
      <w:r w:rsidR="00EB4452">
        <w:rPr>
          <w:rFonts w:ascii="Palatino Linotype" w:hAnsi="Palatino Linotype"/>
          <w:sz w:val="22"/>
          <w:szCs w:val="22"/>
        </w:rPr>
        <w:t>, 2017</w:t>
      </w:r>
    </w:p>
    <w:p w:rsidR="00D53AE8" w:rsidRDefault="00D53AE8" w:rsidP="006A6D67">
      <w:pPr>
        <w:pStyle w:val="NoSpacing"/>
      </w:pPr>
    </w:p>
    <w:p w:rsidR="006A6D67" w:rsidRPr="008673F5" w:rsidRDefault="0089148B" w:rsidP="0089148B">
      <w:pPr>
        <w:pStyle w:val="Heading2"/>
        <w:pBdr>
          <w:bottom w:val="single" w:sz="12" w:space="1" w:color="auto"/>
        </w:pBdr>
      </w:pPr>
      <w:r w:rsidRPr="008673F5">
        <w:t xml:space="preserve">A.  </w:t>
      </w:r>
      <w:r w:rsidR="00F967D3" w:rsidRPr="008673F5">
        <w:t>St</w:t>
      </w:r>
      <w:r w:rsidR="006A6D67" w:rsidRPr="008673F5">
        <w:t>rategic Direction Contributions</w:t>
      </w:r>
    </w:p>
    <w:p w:rsidR="0089148B" w:rsidRDefault="0089148B" w:rsidP="0089148B">
      <w:pPr>
        <w:pStyle w:val="NoSpacing"/>
      </w:pPr>
      <w:r>
        <w:t>Since the last Board meeting, w</w:t>
      </w:r>
      <w:r w:rsidRPr="0089148B">
        <w:t xml:space="preserve">hat </w:t>
      </w:r>
      <w:r>
        <w:t xml:space="preserve">have you and your </w:t>
      </w:r>
      <w:r w:rsidRPr="0089148B">
        <w:t xml:space="preserve">policy committee </w:t>
      </w:r>
      <w:r>
        <w:t xml:space="preserve">members done </w:t>
      </w:r>
      <w:r w:rsidRPr="0089148B">
        <w:t xml:space="preserve">to represent and serve </w:t>
      </w:r>
      <w:r>
        <w:t xml:space="preserve">your </w:t>
      </w:r>
      <w:r w:rsidRPr="0089148B">
        <w:t>Region/Division members</w:t>
      </w:r>
      <w:r>
        <w:t xml:space="preserve"> in the following areas?</w:t>
      </w:r>
    </w:p>
    <w:p w:rsidR="006A33FC" w:rsidRPr="006A6D67" w:rsidRDefault="006A33FC" w:rsidP="006A6D6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6A6D67" w:rsidRDefault="0089148B" w:rsidP="0089148B">
            <w:pPr>
              <w:pStyle w:val="Heading4"/>
            </w:pPr>
            <w:r w:rsidRPr="006A6D67">
              <w:t>Member Value</w:t>
            </w:r>
            <w:r>
              <w:t xml:space="preserve"> &amp; Engagement</w:t>
            </w:r>
          </w:p>
          <w:p w:rsidR="0089148B" w:rsidRPr="0089148B" w:rsidRDefault="008673F5" w:rsidP="0089148B">
            <w:pPr>
              <w:pStyle w:val="NoSpacing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Ex. </w:t>
            </w:r>
            <w:r w:rsidR="0089148B">
              <w:rPr>
                <w:rFonts w:ascii="Palatino Linotype" w:hAnsi="Palatino Linotype"/>
                <w:sz w:val="22"/>
                <w:szCs w:val="22"/>
              </w:rPr>
              <w:t>Growing Membership // Engaging Members // Recruiting New Leaders // Developing Leaders</w:t>
            </w:r>
          </w:p>
        </w:tc>
      </w:tr>
      <w:tr w:rsidR="0089148B" w:rsidTr="008673F5">
        <w:trPr>
          <w:trHeight w:val="2411"/>
        </w:trPr>
        <w:tc>
          <w:tcPr>
            <w:tcW w:w="10795" w:type="dxa"/>
          </w:tcPr>
          <w:p w:rsidR="0089148B" w:rsidRPr="0057111C" w:rsidRDefault="00EB4452" w:rsidP="006A6D67">
            <w:pPr>
              <w:pStyle w:val="Heading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>
              <w:t>1</w:t>
            </w:r>
            <w:r w:rsidRPr="0057111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. Policy Committee</w:t>
            </w:r>
            <w:r w:rsidR="000D5B8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(PC)</w:t>
            </w:r>
            <w:r w:rsidRPr="0057111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members actively promote membership within their regions and states</w:t>
            </w:r>
          </w:p>
          <w:p w:rsidR="00EB4452" w:rsidRDefault="004F05F0" w:rsidP="00EB4452">
            <w:r>
              <w:t>2. PC discussed</w:t>
            </w:r>
            <w:r w:rsidR="00EB4452">
              <w:t xml:space="preserve"> </w:t>
            </w:r>
            <w:r>
              <w:t xml:space="preserve">AE </w:t>
            </w:r>
            <w:r w:rsidR="00EB4452">
              <w:t>regional membership statistics</w:t>
            </w:r>
          </w:p>
          <w:p w:rsidR="00EB4452" w:rsidRDefault="00EB4452" w:rsidP="00EB4452">
            <w:r>
              <w:t xml:space="preserve">3. PC promoted upcoming AE </w:t>
            </w:r>
            <w:r w:rsidR="004F05F0">
              <w:t xml:space="preserve">Division </w:t>
            </w:r>
            <w:r>
              <w:t>election</w:t>
            </w:r>
            <w:r w:rsidR="004F05F0">
              <w:t xml:space="preserve"> to stakeholders</w:t>
            </w:r>
          </w:p>
          <w:p w:rsidR="00EB4452" w:rsidRDefault="00EB4452" w:rsidP="00EB4452">
            <w:r>
              <w:t>4. Brainstormed how PC can better serve AE division members</w:t>
            </w:r>
          </w:p>
          <w:p w:rsidR="00EB4452" w:rsidRDefault="00EB4452" w:rsidP="00EB4452">
            <w:r>
              <w:t>5. Discussed building membership within each affiliate</w:t>
            </w:r>
            <w:r w:rsidR="004F05F0">
              <w:t xml:space="preserve"> (NAAE, NASAE, AAAE)</w:t>
            </w:r>
          </w:p>
          <w:p w:rsidR="004F05F0" w:rsidRDefault="004F05F0" w:rsidP="00EB4452">
            <w:r>
              <w:t>6. Sent membership applications and election flyers to profession nationwide via Monday Morning Monitor (MMM)</w:t>
            </w:r>
          </w:p>
          <w:p w:rsidR="004F05F0" w:rsidRDefault="004F05F0" w:rsidP="00EB4452">
            <w:r>
              <w:t>7. Distributed membership applications and election flyers at NFFA</w:t>
            </w:r>
            <w:r w:rsidR="00F72ABE">
              <w:t xml:space="preserve"> Convention and</w:t>
            </w:r>
            <w:r>
              <w:t xml:space="preserve"> Expo and NASAE Professional Development conference</w:t>
            </w:r>
            <w:r w:rsidR="00F72ABE">
              <w:t xml:space="preserve"> in Indianapolis</w:t>
            </w:r>
          </w:p>
          <w:p w:rsidR="004F05F0" w:rsidRDefault="004F05F0" w:rsidP="00EB4452">
            <w:r>
              <w:t xml:space="preserve">8. Addressed </w:t>
            </w:r>
            <w:r w:rsidR="00F72ABE">
              <w:t>AE Division issues</w:t>
            </w:r>
            <w:r w:rsidR="00F72ABE">
              <w:t xml:space="preserve"> with </w:t>
            </w:r>
            <w:r>
              <w:t>NASAE membership</w:t>
            </w:r>
            <w:r w:rsidR="00F72ABE">
              <w:t>,</w:t>
            </w:r>
            <w:r>
              <w:t xml:space="preserve"> ACTE membership opportunities and share</w:t>
            </w:r>
            <w:r w:rsidR="00A94661">
              <w:t>d</w:t>
            </w:r>
            <w:r>
              <w:t xml:space="preserve"> the importance of a strong connection with ACTE through the NASAE constitution</w:t>
            </w:r>
          </w:p>
          <w:p w:rsidR="004F05F0" w:rsidRDefault="004F05F0" w:rsidP="00EB4452">
            <w:r>
              <w:t>9. ACTE Excellence and Image Award winners were distributed nationwide via MMM</w:t>
            </w:r>
          </w:p>
          <w:p w:rsidR="00EB4452" w:rsidRDefault="00EB4452" w:rsidP="00EB4452"/>
          <w:p w:rsidR="00EB4452" w:rsidRPr="00EB4452" w:rsidRDefault="00EB4452" w:rsidP="00EB4452"/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8C6409" w:rsidRDefault="0089148B" w:rsidP="0089148B">
            <w:pPr>
              <w:pStyle w:val="Heading4"/>
            </w:pPr>
            <w:r w:rsidRPr="008C6409">
              <w:t xml:space="preserve">Professional </w:t>
            </w:r>
            <w:r>
              <w:t>&amp;</w:t>
            </w:r>
            <w:r w:rsidRPr="008C6409">
              <w:t xml:space="preserve"> Leadership Development</w:t>
            </w:r>
          </w:p>
          <w:p w:rsidR="0089148B" w:rsidRPr="0089148B" w:rsidRDefault="008673F5" w:rsidP="00FA53CA">
            <w:pPr>
              <w:pStyle w:val="Heading4"/>
              <w:rPr>
                <w:i w:val="0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Ex.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Sourcing Topics and Presenters (for Conferences &amp; Online) // Evaluating Sessions </w:t>
            </w:r>
          </w:p>
        </w:tc>
      </w:tr>
      <w:tr w:rsidR="0089148B" w:rsidTr="008673F5">
        <w:trPr>
          <w:trHeight w:val="2546"/>
        </w:trPr>
        <w:tc>
          <w:tcPr>
            <w:tcW w:w="10795" w:type="dxa"/>
          </w:tcPr>
          <w:p w:rsidR="0089148B" w:rsidRPr="004F05F0" w:rsidRDefault="00EB4452" w:rsidP="006A6D67">
            <w:pPr>
              <w:pStyle w:val="Heading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4F05F0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1. AE Division members are encouraged to take advantage of ACTE professional and leadership development via weekly nationwide</w:t>
            </w:r>
            <w:r w:rsidR="00A9466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AE</w:t>
            </w:r>
            <w:r w:rsidRPr="004F05F0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newsletter-Monday Morning Monitor</w:t>
            </w:r>
          </w:p>
          <w:p w:rsidR="00EB4452" w:rsidRDefault="00EB4452" w:rsidP="00EB4452">
            <w:r>
              <w:t xml:space="preserve">2. NAAE offers </w:t>
            </w:r>
            <w:r w:rsidR="004F05F0">
              <w:t>over 80</w:t>
            </w:r>
            <w:r>
              <w:t xml:space="preserve"> workshops at VISION for all levels of AE members</w:t>
            </w:r>
          </w:p>
          <w:p w:rsidR="005C13AE" w:rsidRPr="00EB4452" w:rsidRDefault="005C13AE" w:rsidP="00EB4452">
            <w:r>
              <w:t>3. Promoted ACTE leadership opportunities to NASAE</w:t>
            </w:r>
          </w:p>
          <w:p w:rsidR="00FA53CA" w:rsidRDefault="00FA53CA" w:rsidP="00FA53CA"/>
          <w:p w:rsidR="00FA53CA" w:rsidRDefault="00FA53CA" w:rsidP="00FA53CA"/>
          <w:p w:rsidR="00FA53CA" w:rsidRDefault="00FA53CA" w:rsidP="00FA53CA"/>
          <w:p w:rsidR="00FA53CA" w:rsidRPr="00FA53CA" w:rsidRDefault="00FA53CA" w:rsidP="00FA53CA"/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t xml:space="preserve">Advocacy </w:t>
            </w:r>
            <w:r>
              <w:t>&amp;</w:t>
            </w:r>
            <w:r w:rsidRPr="008C6409">
              <w:t xml:space="preserve"> Awareness</w:t>
            </w:r>
          </w:p>
          <w:p w:rsidR="0089148B" w:rsidRPr="00FA53CA" w:rsidRDefault="008673F5" w:rsidP="00FA53CA">
            <w:pPr>
              <w:pStyle w:val="Heading4"/>
              <w:rPr>
                <w:rFonts w:ascii="Palatino Linotype" w:hAnsi="Palatino Linotype"/>
                <w:i w:val="0"/>
                <w:color w:val="auto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>Sourcing &amp; Sh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owcasing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 Positive CTE Stories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Advocating for CTE</w:t>
            </w:r>
          </w:p>
        </w:tc>
      </w:tr>
      <w:tr w:rsidR="0089148B" w:rsidTr="008673F5">
        <w:trPr>
          <w:trHeight w:val="2555"/>
        </w:trPr>
        <w:tc>
          <w:tcPr>
            <w:tcW w:w="10795" w:type="dxa"/>
          </w:tcPr>
          <w:p w:rsidR="0089148B" w:rsidRPr="005C13AE" w:rsidRDefault="00EB4452" w:rsidP="006A6D67">
            <w:pPr>
              <w:pStyle w:val="Heading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>
              <w:t>1</w:t>
            </w:r>
            <w:r w:rsidRPr="005C13A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. Lauren Fillebrown, former CTE student in AE, was on a </w:t>
            </w:r>
            <w:r w:rsidR="00CB78E3" w:rsidRPr="005C13A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House and Senate CTE Caucus </w:t>
            </w:r>
            <w:r w:rsidRPr="005C13A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panel </w:t>
            </w:r>
            <w:r w:rsidR="00CB78E3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with a business and industry representative and a state administrator to discuss advantages of CTE</w:t>
            </w:r>
          </w:p>
          <w:p w:rsidR="00EB4452" w:rsidRPr="00EB4452" w:rsidRDefault="00EB4452" w:rsidP="00EB4452">
            <w:r>
              <w:t xml:space="preserve">2. </w:t>
            </w:r>
            <w:r w:rsidR="00CB78E3">
              <w:t>ACTE Award winners web link shared with AE Division members through weekly newsletter (MMM)</w:t>
            </w: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t>Strategic Partnerships</w:t>
            </w:r>
          </w:p>
          <w:p w:rsidR="0089148B" w:rsidRPr="00FA53CA" w:rsidRDefault="008673F5" w:rsidP="001B35AA">
            <w:pPr>
              <w:pStyle w:val="Heading4"/>
              <w:rPr>
                <w:rFonts w:ascii="Palatino Linotype" w:hAnsi="Palatino Linotype"/>
                <w:i w:val="0"/>
                <w:color w:val="auto"/>
                <w:sz w:val="22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Identifying Potential Partners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Developing Relationships with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Key &amp; Potential Partners</w:t>
            </w:r>
          </w:p>
        </w:tc>
      </w:tr>
      <w:tr w:rsidR="0089148B" w:rsidTr="008673F5">
        <w:trPr>
          <w:trHeight w:val="2294"/>
        </w:trPr>
        <w:tc>
          <w:tcPr>
            <w:tcW w:w="10795" w:type="dxa"/>
          </w:tcPr>
          <w:p w:rsidR="0089148B" w:rsidRPr="00CB78E3" w:rsidRDefault="00CB78E3" w:rsidP="00CB78E3">
            <w:pPr>
              <w:pStyle w:val="Heading4"/>
              <w:numPr>
                <w:ilvl w:val="0"/>
                <w:numId w:val="15"/>
              </w:numPr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CB78E3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>Promoted ACTE Business of the Year and Business Leader of the Year</w:t>
            </w:r>
            <w:r w:rsidR="00BF32EC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 xml:space="preserve"> through MMM</w:t>
            </w:r>
            <w:r w:rsidRPr="00CB78E3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  <w:p w:rsidR="00CB78E3" w:rsidRPr="00CB78E3" w:rsidRDefault="00CB78E3" w:rsidP="00CB78E3">
            <w:pPr>
              <w:pStyle w:val="ListParagraph"/>
              <w:numPr>
                <w:ilvl w:val="0"/>
                <w:numId w:val="15"/>
              </w:numPr>
            </w:pPr>
            <w:r>
              <w:t>Worked with Steve DeWitt and Mich</w:t>
            </w:r>
            <w:r w:rsidR="00BF32EC">
              <w:t>ael Connet to provide contacts for Toyota and a DIY TV celebrity focused on skilled trades</w:t>
            </w: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B35AA" w:rsidTr="008673F5">
        <w:trPr>
          <w:trHeight w:val="278"/>
        </w:trPr>
        <w:tc>
          <w:tcPr>
            <w:tcW w:w="10795" w:type="dxa"/>
          </w:tcPr>
          <w:p w:rsidR="001B35AA" w:rsidRPr="008C6409" w:rsidRDefault="001B35AA" w:rsidP="001B35AA">
            <w:pPr>
              <w:pStyle w:val="Heading4"/>
            </w:pPr>
            <w:r w:rsidRPr="008C6409">
              <w:t>Innovation</w:t>
            </w:r>
          </w:p>
          <w:p w:rsidR="001B35AA" w:rsidRDefault="008673F5" w:rsidP="001B35AA">
            <w:pPr>
              <w:pStyle w:val="Heading4"/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Sourcing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Models of Innovation // Identifying Emerging Trends, Industries, New Technologies</w:t>
            </w:r>
          </w:p>
        </w:tc>
      </w:tr>
      <w:tr w:rsidR="001B35AA" w:rsidTr="008673F5">
        <w:trPr>
          <w:trHeight w:val="2456"/>
        </w:trPr>
        <w:tc>
          <w:tcPr>
            <w:tcW w:w="10795" w:type="dxa"/>
          </w:tcPr>
          <w:p w:rsidR="001B35AA" w:rsidRDefault="00CB78E3" w:rsidP="00CB78E3">
            <w:pPr>
              <w:pStyle w:val="Heading4"/>
              <w:numPr>
                <w:ilvl w:val="0"/>
                <w:numId w:val="16"/>
              </w:numPr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 xml:space="preserve">Promotion of </w:t>
            </w:r>
            <w:r w:rsidR="00EB4452" w:rsidRPr="00CB78E3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>C</w:t>
            </w:r>
            <w:r w:rsidR="00BF32EC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>urriculum for Agricultural Science Education (C</w:t>
            </w:r>
            <w:r w:rsidR="00EB4452" w:rsidRPr="00CB78E3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>ASE</w:t>
            </w:r>
            <w:r w:rsidR="00BF32EC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>)</w:t>
            </w:r>
            <w:r w:rsidR="00EB4452" w:rsidRPr="00CB78E3">
              <w:rPr>
                <w:rFonts w:ascii="Palatino Linotype" w:eastAsia="Times New Roman" w:hAnsi="Palatino Linotype" w:cs="Times New Roman"/>
                <w:i w:val="0"/>
                <w:iCs w:val="0"/>
                <w:color w:val="auto"/>
                <w:sz w:val="22"/>
                <w:szCs w:val="22"/>
              </w:rPr>
              <w:t xml:space="preserve"> programs nationwide</w:t>
            </w:r>
          </w:p>
          <w:p w:rsidR="00CB78E3" w:rsidRPr="00CB78E3" w:rsidRDefault="00CB78E3" w:rsidP="00CB78E3">
            <w:pPr>
              <w:pStyle w:val="ListParagraph"/>
              <w:numPr>
                <w:ilvl w:val="0"/>
                <w:numId w:val="16"/>
              </w:numPr>
            </w:pPr>
            <w:r>
              <w:t xml:space="preserve">Wrote an article for New Jersey School Boards Association magazine about </w:t>
            </w:r>
            <w:r w:rsidR="001735BF">
              <w:t>STEM based programs in Food, Agriculture and Natural Resources Education, then share</w:t>
            </w:r>
            <w:r w:rsidR="00BF32EC">
              <w:t>d</w:t>
            </w:r>
            <w:r w:rsidR="001735BF">
              <w:t xml:space="preserve"> nationwide through national CASE social media network.</w:t>
            </w:r>
          </w:p>
        </w:tc>
      </w:tr>
    </w:tbl>
    <w:p w:rsidR="006965C9" w:rsidRPr="00B20783" w:rsidRDefault="006965C9" w:rsidP="001B35AA">
      <w:pPr>
        <w:pStyle w:val="ACTEBodyText"/>
        <w:numPr>
          <w:ilvl w:val="0"/>
          <w:numId w:val="0"/>
        </w:numPr>
      </w:pPr>
    </w:p>
    <w:p w:rsidR="001B35AA" w:rsidRDefault="001B35AA" w:rsidP="001B35AA">
      <w:pPr>
        <w:pStyle w:val="Heading2"/>
        <w:pBdr>
          <w:bottom w:val="single" w:sz="12" w:space="1" w:color="auto"/>
        </w:pBdr>
      </w:pPr>
      <w:bookmarkStart w:id="2" w:name="_Toc261525642"/>
      <w:r>
        <w:t>B</w:t>
      </w:r>
      <w:r w:rsidRPr="0089148B">
        <w:t>.</w:t>
      </w:r>
      <w:r>
        <w:t xml:space="preserve">  Succession Planning</w:t>
      </w:r>
    </w:p>
    <w:p w:rsidR="006A6D67" w:rsidRDefault="008673F5" w:rsidP="008673F5">
      <w:pPr>
        <w:pStyle w:val="NoSpacing"/>
      </w:pPr>
      <w:r>
        <w:t>Do you have any suggestions on future Vice Presidents for your Region or Division? Or any suggestions on future ACTE President-Elect candidates?</w:t>
      </w:r>
    </w:p>
    <w:p w:rsidR="0057111C" w:rsidRDefault="0057111C" w:rsidP="008673F5">
      <w:pPr>
        <w:pStyle w:val="NoSpacing"/>
      </w:pPr>
    </w:p>
    <w:p w:rsidR="001735BF" w:rsidRDefault="00BF32EC" w:rsidP="008673F5">
      <w:pPr>
        <w:pStyle w:val="NoSpacing"/>
      </w:pPr>
      <w:r>
        <w:t xml:space="preserve">Future </w:t>
      </w:r>
      <w:r w:rsidR="001735BF">
        <w:t>AE Division VP</w:t>
      </w:r>
      <w:r>
        <w:t xml:space="preserve"> potential candidates</w:t>
      </w:r>
      <w:r w:rsidR="001735BF">
        <w:t xml:space="preserve">: </w:t>
      </w:r>
      <w:r>
        <w:t xml:space="preserve">Travis Bradshaw, </w:t>
      </w:r>
      <w:r w:rsidR="001735BF">
        <w:t>Keely DiTizio, Robin McLean, Dale Cruzan, Juleah Tolosky, Sharisa Nailer, Jon Ulmer, Mike Retallick, Jacob Davis, Jason Davis</w:t>
      </w:r>
    </w:p>
    <w:p w:rsidR="008673F5" w:rsidRDefault="008673F5" w:rsidP="008673F5">
      <w:pPr>
        <w:pStyle w:val="NoSpacing"/>
      </w:pPr>
    </w:p>
    <w:p w:rsidR="008673F5" w:rsidRPr="006A6D67" w:rsidRDefault="008673F5" w:rsidP="008673F5">
      <w:pPr>
        <w:pStyle w:val="NoSpacing"/>
      </w:pPr>
    </w:p>
    <w:p w:rsidR="0057111C" w:rsidRDefault="0057111C">
      <w:pPr>
        <w:rPr>
          <w:rFonts w:ascii="Palatino Linotype" w:hAnsi="Palatino Linotype"/>
          <w:b/>
          <w:i/>
          <w:sz w:val="22"/>
          <w:szCs w:val="22"/>
        </w:rPr>
      </w:pPr>
      <w:r>
        <w:br w:type="page"/>
      </w:r>
    </w:p>
    <w:p w:rsidR="006A6D67" w:rsidRDefault="006A6D67" w:rsidP="006A6D67">
      <w:pPr>
        <w:pStyle w:val="ACTEBodyText"/>
        <w:numPr>
          <w:ilvl w:val="0"/>
          <w:numId w:val="0"/>
        </w:numPr>
        <w:ind w:left="360"/>
      </w:pPr>
    </w:p>
    <w:bookmarkEnd w:id="2"/>
    <w:p w:rsidR="008673F5" w:rsidRDefault="008673F5" w:rsidP="008673F5">
      <w:pPr>
        <w:pStyle w:val="Heading2"/>
        <w:pBdr>
          <w:bottom w:val="single" w:sz="12" w:space="1" w:color="auto"/>
        </w:pBdr>
      </w:pPr>
      <w:r>
        <w:t>C</w:t>
      </w:r>
      <w:r w:rsidRPr="0089148B">
        <w:t>.</w:t>
      </w:r>
      <w:r>
        <w:t xml:space="preserve">  Region/Division Concerns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3060"/>
        <w:gridCol w:w="3960"/>
      </w:tblGrid>
      <w:tr w:rsidR="00F967D3" w:rsidRPr="006325D1" w:rsidTr="008673F5">
        <w:trPr>
          <w:trHeight w:val="729"/>
        </w:trPr>
        <w:tc>
          <w:tcPr>
            <w:tcW w:w="3865" w:type="dxa"/>
          </w:tcPr>
          <w:p w:rsidR="00F967D3" w:rsidRPr="006325D1" w:rsidRDefault="00F967D3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</w:t>
            </w:r>
            <w:r w:rsidR="00C06250">
              <w:rPr>
                <w:rFonts w:ascii="Palatino Linotype" w:hAnsi="Palatino Linotype"/>
                <w:b/>
                <w:bCs/>
                <w:sz w:val="22"/>
                <w:szCs w:val="22"/>
              </w:rPr>
              <w:t>/Division</w:t>
            </w: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specifically?</w:t>
            </w:r>
          </w:p>
        </w:tc>
        <w:tc>
          <w:tcPr>
            <w:tcW w:w="3060" w:type="dxa"/>
          </w:tcPr>
          <w:p w:rsidR="00F967D3" w:rsidRPr="006325D1" w:rsidRDefault="00C101A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960" w:type="dxa"/>
          </w:tcPr>
          <w:p w:rsidR="00F967D3" w:rsidRPr="006325D1" w:rsidRDefault="00A4286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8673F5">
        <w:trPr>
          <w:trHeight w:val="255"/>
        </w:trPr>
        <w:tc>
          <w:tcPr>
            <w:tcW w:w="3865" w:type="dxa"/>
          </w:tcPr>
          <w:p w:rsidR="00F967D3" w:rsidRDefault="00443A40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Teacher Shortage continues to be a major concern</w:t>
            </w: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443A40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Teachers entering profession without understanding the importance of ACTE and other professional organizations</w:t>
            </w:r>
          </w:p>
        </w:tc>
        <w:tc>
          <w:tcPr>
            <w:tcW w:w="3960" w:type="dxa"/>
          </w:tcPr>
          <w:p w:rsidR="00F967D3" w:rsidRPr="00AB70DF" w:rsidRDefault="00443A40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Partnering with ongoing strategies within divisions ie. Teach Ag Campaign and STAR program</w:t>
            </w:r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F967D3" w:rsidRDefault="00443A40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Lack of understanding and/or appreciate of all that ACTE does for CTE.  Some only think about division concerns and not CTE. </w:t>
            </w: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443A40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Potential increase of those disconnected from ACTE</w:t>
            </w:r>
          </w:p>
        </w:tc>
        <w:tc>
          <w:tcPr>
            <w:tcW w:w="3960" w:type="dxa"/>
          </w:tcPr>
          <w:p w:rsidR="00F967D3" w:rsidRPr="00AB70DF" w:rsidRDefault="00443A40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Connect with</w:t>
            </w:r>
            <w:r w:rsidR="00851F9A">
              <w:rPr>
                <w:rFonts w:ascii="Palatino Linotype" w:hAnsi="Palatino Linotype"/>
                <w:i/>
                <w:sz w:val="22"/>
                <w:szCs w:val="22"/>
              </w:rPr>
              <w:t xml:space="preserve"> potential division based projects (ie. Government relations staff with FFA, Teach Ag etc.)</w:t>
            </w:r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F967D3" w:rsidRDefault="00F967D3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8673F5" w:rsidRDefault="008673F5" w:rsidP="008673F5">
      <w:pPr>
        <w:pStyle w:val="ACTEBodyText"/>
        <w:numPr>
          <w:ilvl w:val="0"/>
          <w:numId w:val="0"/>
        </w:numPr>
      </w:pPr>
    </w:p>
    <w:p w:rsidR="008673F5" w:rsidRDefault="008673F5" w:rsidP="008673F5">
      <w:pPr>
        <w:pStyle w:val="Heading2"/>
        <w:pBdr>
          <w:bottom w:val="single" w:sz="12" w:space="1" w:color="auto"/>
        </w:pBdr>
      </w:pPr>
      <w:r>
        <w:t>D</w:t>
      </w:r>
      <w:r w:rsidRPr="0089148B">
        <w:t>.</w:t>
      </w:r>
      <w:r>
        <w:t xml:space="preserve">  Items to be placed on the Board Agenda for Discussion:</w:t>
      </w:r>
    </w:p>
    <w:p w:rsidR="0089148B" w:rsidRPr="00AB0D0E" w:rsidRDefault="008673F5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CE2571" w:rsidRPr="00AB0D0E">
        <w:rPr>
          <w:rFonts w:ascii="Palatino Linotype" w:hAnsi="Palatino Linotype"/>
          <w:i/>
          <w:sz w:val="22"/>
          <w:szCs w:val="22"/>
        </w:rPr>
        <w:t>Only include items that require Board discussion or action. These will be placed on the Board meeting agenda.)</w:t>
      </w:r>
    </w:p>
    <w:sectPr w:rsidR="0089148B" w:rsidRPr="00AB0D0E" w:rsidSect="008673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A0" w:rsidRDefault="002E4AA0" w:rsidP="006965C9">
      <w:r>
        <w:separator/>
      </w:r>
    </w:p>
  </w:endnote>
  <w:endnote w:type="continuationSeparator" w:id="0">
    <w:p w:rsidR="002E4AA0" w:rsidRDefault="002E4AA0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8E3" w:rsidRDefault="00CB7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B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78E3" w:rsidRDefault="00CB7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A0" w:rsidRDefault="002E4AA0" w:rsidP="006965C9">
      <w:r>
        <w:separator/>
      </w:r>
    </w:p>
  </w:footnote>
  <w:footnote w:type="continuationSeparator" w:id="0">
    <w:p w:rsidR="002E4AA0" w:rsidRDefault="002E4AA0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3E2"/>
    <w:multiLevelType w:val="hybridMultilevel"/>
    <w:tmpl w:val="D9009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A1FEC"/>
    <w:multiLevelType w:val="hybridMultilevel"/>
    <w:tmpl w:val="98B4C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AC4"/>
    <w:multiLevelType w:val="hybridMultilevel"/>
    <w:tmpl w:val="B09C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9D43A6"/>
    <w:multiLevelType w:val="hybridMultilevel"/>
    <w:tmpl w:val="539C0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4ADC"/>
    <w:multiLevelType w:val="hybridMultilevel"/>
    <w:tmpl w:val="452A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79B"/>
    <w:multiLevelType w:val="hybridMultilevel"/>
    <w:tmpl w:val="E58C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0C2C"/>
    <w:multiLevelType w:val="hybridMultilevel"/>
    <w:tmpl w:val="797E5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D4001"/>
    <w:multiLevelType w:val="hybridMultilevel"/>
    <w:tmpl w:val="10EA5A4E"/>
    <w:lvl w:ilvl="0" w:tplc="FCF27492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A18F2"/>
    <w:multiLevelType w:val="hybridMultilevel"/>
    <w:tmpl w:val="50C85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85948"/>
    <w:multiLevelType w:val="hybridMultilevel"/>
    <w:tmpl w:val="46F8E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E5B04"/>
    <w:multiLevelType w:val="hybridMultilevel"/>
    <w:tmpl w:val="0636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0A2016"/>
    <w:rsid w:val="000D5B8C"/>
    <w:rsid w:val="0010573C"/>
    <w:rsid w:val="00136284"/>
    <w:rsid w:val="001735BF"/>
    <w:rsid w:val="001809E6"/>
    <w:rsid w:val="001B2A7E"/>
    <w:rsid w:val="001B35AA"/>
    <w:rsid w:val="001E4326"/>
    <w:rsid w:val="00225ABE"/>
    <w:rsid w:val="00274EB3"/>
    <w:rsid w:val="00275486"/>
    <w:rsid w:val="002875F9"/>
    <w:rsid w:val="002D0139"/>
    <w:rsid w:val="002D2CD1"/>
    <w:rsid w:val="002E4AA0"/>
    <w:rsid w:val="00356A6B"/>
    <w:rsid w:val="00434384"/>
    <w:rsid w:val="00443A40"/>
    <w:rsid w:val="004815CA"/>
    <w:rsid w:val="004D3E70"/>
    <w:rsid w:val="004F05F0"/>
    <w:rsid w:val="005215D6"/>
    <w:rsid w:val="0057111C"/>
    <w:rsid w:val="005947A9"/>
    <w:rsid w:val="005C13AE"/>
    <w:rsid w:val="005E44E1"/>
    <w:rsid w:val="006325D1"/>
    <w:rsid w:val="00647B6E"/>
    <w:rsid w:val="00651A79"/>
    <w:rsid w:val="00692BD9"/>
    <w:rsid w:val="006965C9"/>
    <w:rsid w:val="006A0A81"/>
    <w:rsid w:val="006A33FC"/>
    <w:rsid w:val="006A6D67"/>
    <w:rsid w:val="007006FE"/>
    <w:rsid w:val="00707F1C"/>
    <w:rsid w:val="007334F9"/>
    <w:rsid w:val="007452E8"/>
    <w:rsid w:val="00762736"/>
    <w:rsid w:val="007717B5"/>
    <w:rsid w:val="007813B4"/>
    <w:rsid w:val="00790A43"/>
    <w:rsid w:val="007D6841"/>
    <w:rsid w:val="008414CE"/>
    <w:rsid w:val="00851F9A"/>
    <w:rsid w:val="008673F5"/>
    <w:rsid w:val="0087365E"/>
    <w:rsid w:val="0089148B"/>
    <w:rsid w:val="008C6409"/>
    <w:rsid w:val="00981F29"/>
    <w:rsid w:val="00A20092"/>
    <w:rsid w:val="00A3071E"/>
    <w:rsid w:val="00A42860"/>
    <w:rsid w:val="00A94661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97271"/>
    <w:rsid w:val="00BA0AEA"/>
    <w:rsid w:val="00BC525C"/>
    <w:rsid w:val="00BC6C09"/>
    <w:rsid w:val="00BD0A69"/>
    <w:rsid w:val="00BF32EC"/>
    <w:rsid w:val="00BF496D"/>
    <w:rsid w:val="00BF5994"/>
    <w:rsid w:val="00C06250"/>
    <w:rsid w:val="00C101A0"/>
    <w:rsid w:val="00C275E1"/>
    <w:rsid w:val="00C551AF"/>
    <w:rsid w:val="00C6438E"/>
    <w:rsid w:val="00C7060A"/>
    <w:rsid w:val="00CA3F3F"/>
    <w:rsid w:val="00CB78E3"/>
    <w:rsid w:val="00CD2FF8"/>
    <w:rsid w:val="00CE2571"/>
    <w:rsid w:val="00CF516D"/>
    <w:rsid w:val="00D02895"/>
    <w:rsid w:val="00D47DFD"/>
    <w:rsid w:val="00D5111E"/>
    <w:rsid w:val="00D53AE8"/>
    <w:rsid w:val="00DB5AE7"/>
    <w:rsid w:val="00DF3971"/>
    <w:rsid w:val="00E067D5"/>
    <w:rsid w:val="00EA368F"/>
    <w:rsid w:val="00EB17B8"/>
    <w:rsid w:val="00EB4452"/>
    <w:rsid w:val="00EC40DF"/>
    <w:rsid w:val="00ED736E"/>
    <w:rsid w:val="00EE6406"/>
    <w:rsid w:val="00EE6B9E"/>
    <w:rsid w:val="00EF4AFC"/>
    <w:rsid w:val="00F11B65"/>
    <w:rsid w:val="00F2234C"/>
    <w:rsid w:val="00F31E19"/>
    <w:rsid w:val="00F44152"/>
    <w:rsid w:val="00F72ABE"/>
    <w:rsid w:val="00F94081"/>
    <w:rsid w:val="00F967D3"/>
    <w:rsid w:val="00FA53CA"/>
    <w:rsid w:val="00FB7285"/>
    <w:rsid w:val="00FF031E"/>
    <w:rsid w:val="00FF11C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A6AD6"/>
  <w15:docId w15:val="{BF54153D-597E-483C-9E50-DD69968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A6D67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0FE5-654A-457A-AAC2-9C478803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Trivette, Nancy</cp:lastModifiedBy>
  <cp:revision>9</cp:revision>
  <dcterms:created xsi:type="dcterms:W3CDTF">2017-10-13T16:25:00Z</dcterms:created>
  <dcterms:modified xsi:type="dcterms:W3CDTF">2017-11-01T20:46:00Z</dcterms:modified>
</cp:coreProperties>
</file>